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9BE83" w14:textId="2F68AF38" w:rsidR="0037432A" w:rsidRDefault="0037432A">
      <w:pPr>
        <w:pStyle w:val="Corpsdetexte"/>
        <w:rPr>
          <w:rFonts w:ascii="Times New Roman"/>
        </w:rPr>
      </w:pPr>
    </w:p>
    <w:p w14:paraId="0E9E6A0E" w14:textId="484A1CC8" w:rsidR="0037432A" w:rsidRDefault="0037432A">
      <w:pPr>
        <w:pStyle w:val="Corpsdetexte"/>
        <w:rPr>
          <w:rFonts w:ascii="Times New Roman"/>
        </w:rPr>
      </w:pPr>
    </w:p>
    <w:p w14:paraId="6E5752FB" w14:textId="4F931AD7" w:rsidR="0037432A" w:rsidRDefault="0037432A">
      <w:pPr>
        <w:pStyle w:val="Corpsdetexte"/>
        <w:rPr>
          <w:rFonts w:ascii="Times New Roman"/>
        </w:rPr>
      </w:pPr>
    </w:p>
    <w:p w14:paraId="1D4BA83B" w14:textId="4716C7B9" w:rsidR="00E94BAE" w:rsidRDefault="00E94BAE">
      <w:pPr>
        <w:pStyle w:val="Corpsdetexte"/>
        <w:rPr>
          <w:rFonts w:ascii="Times New Roman"/>
        </w:rPr>
      </w:pPr>
      <w:r>
        <w:rPr>
          <w:rFonts w:ascii="Franklin Gothic Book" w:hAnsi="Franklin Gothic Book"/>
          <w:noProof/>
          <w:color w:val="0267AD"/>
          <w:lang w:eastAsia="fr-FR"/>
        </w:rPr>
        <w:drawing>
          <wp:inline distT="0" distB="0" distL="0" distR="0" wp14:anchorId="63C72071" wp14:editId="693479D2">
            <wp:extent cx="2857500" cy="1085850"/>
            <wp:effectExtent l="0" t="0" r="0" b="0"/>
            <wp:docPr id="1538219867" name="Image 1" descr="Une image contenant Graphique, Police, graphisme,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219867" name="Image 1" descr="Une image contenant Graphique, Police, graphisme, logo&#10;&#10;Description générée automatiquement"/>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857500" cy="1085850"/>
                    </a:xfrm>
                    <a:prstGeom prst="rect">
                      <a:avLst/>
                    </a:prstGeom>
                    <a:noFill/>
                    <a:ln>
                      <a:noFill/>
                    </a:ln>
                  </pic:spPr>
                </pic:pic>
              </a:graphicData>
            </a:graphic>
          </wp:inline>
        </w:drawing>
      </w:r>
    </w:p>
    <w:p w14:paraId="768BA03E" w14:textId="77777777" w:rsidR="0037432A" w:rsidRDefault="0037432A">
      <w:pPr>
        <w:pStyle w:val="Corpsdetexte"/>
        <w:spacing w:before="11"/>
        <w:rPr>
          <w:rFonts w:ascii="Times New Roman"/>
          <w:sz w:val="24"/>
        </w:rPr>
      </w:pPr>
    </w:p>
    <w:p w14:paraId="658F6EEB" w14:textId="071106AA" w:rsidR="0037432A" w:rsidRDefault="00810D8B">
      <w:pPr>
        <w:pStyle w:val="Titre"/>
      </w:pPr>
      <w:r>
        <w:rPr>
          <w:color w:val="004B81"/>
          <w:w w:val="90"/>
        </w:rPr>
        <w:t>Description</w:t>
      </w:r>
      <w:r>
        <w:rPr>
          <w:color w:val="004B81"/>
          <w:spacing w:val="45"/>
          <w:w w:val="90"/>
        </w:rPr>
        <w:t xml:space="preserve"> </w:t>
      </w:r>
      <w:r>
        <w:rPr>
          <w:color w:val="004B81"/>
          <w:w w:val="90"/>
        </w:rPr>
        <w:t>de</w:t>
      </w:r>
      <w:r>
        <w:rPr>
          <w:color w:val="004B81"/>
          <w:spacing w:val="43"/>
          <w:w w:val="90"/>
        </w:rPr>
        <w:t xml:space="preserve"> </w:t>
      </w:r>
      <w:r>
        <w:rPr>
          <w:color w:val="004B81"/>
          <w:w w:val="90"/>
        </w:rPr>
        <w:t>poste</w:t>
      </w:r>
    </w:p>
    <w:p w14:paraId="152ADFD5" w14:textId="237D1169" w:rsidR="00CE5C9D" w:rsidRPr="00CE5C9D" w:rsidRDefault="00631CC2" w:rsidP="00CE5C9D">
      <w:pPr>
        <w:pStyle w:val="Corpsdetexte"/>
        <w:spacing w:before="195"/>
        <w:ind w:left="1036"/>
        <w:jc w:val="both"/>
        <w:rPr>
          <w:i/>
          <w:iCs/>
          <w:color w:val="0167AC"/>
          <w:sz w:val="28"/>
          <w:szCs w:val="28"/>
        </w:rPr>
      </w:pPr>
      <w:r>
        <w:rPr>
          <w:i/>
          <w:iCs/>
          <w:color w:val="0167AC"/>
          <w:sz w:val="28"/>
          <w:szCs w:val="28"/>
        </w:rPr>
        <w:t xml:space="preserve">Ingénieur </w:t>
      </w:r>
      <w:r w:rsidR="00E07C1A">
        <w:rPr>
          <w:i/>
          <w:iCs/>
          <w:color w:val="0167AC"/>
          <w:sz w:val="28"/>
          <w:szCs w:val="28"/>
        </w:rPr>
        <w:t>Sénior</w:t>
      </w:r>
      <w:r>
        <w:rPr>
          <w:i/>
          <w:iCs/>
          <w:color w:val="0167AC"/>
          <w:sz w:val="28"/>
          <w:szCs w:val="28"/>
        </w:rPr>
        <w:t xml:space="preserve"> DevOps/SRE</w:t>
      </w:r>
      <w:r w:rsidR="00FF0303" w:rsidRPr="00FF0303">
        <w:rPr>
          <w:i/>
          <w:iCs/>
          <w:color w:val="0167AC"/>
          <w:sz w:val="28"/>
          <w:szCs w:val="28"/>
        </w:rPr>
        <w:t xml:space="preserve"> </w:t>
      </w:r>
      <w:r w:rsidR="00CE5C9D" w:rsidRPr="00CE5C9D">
        <w:rPr>
          <w:i/>
          <w:iCs/>
          <w:color w:val="0167AC"/>
          <w:sz w:val="28"/>
          <w:szCs w:val="28"/>
        </w:rPr>
        <w:t xml:space="preserve">(f/h)  </w:t>
      </w:r>
    </w:p>
    <w:p w14:paraId="576AB4A9" w14:textId="77777777" w:rsidR="0037432A" w:rsidRDefault="00810D8B">
      <w:pPr>
        <w:pStyle w:val="Corpsdetexte"/>
        <w:spacing w:before="195"/>
        <w:ind w:left="1036"/>
        <w:jc w:val="both"/>
      </w:pPr>
      <w:proofErr w:type="spellStart"/>
      <w:r>
        <w:rPr>
          <w:color w:val="12404D"/>
        </w:rPr>
        <w:t>Sofrecom</w:t>
      </w:r>
      <w:proofErr w:type="spellEnd"/>
      <w:r>
        <w:rPr>
          <w:color w:val="12404D"/>
        </w:rPr>
        <w:t>,</w:t>
      </w:r>
      <w:r>
        <w:rPr>
          <w:color w:val="12404D"/>
          <w:spacing w:val="-7"/>
        </w:rPr>
        <w:t xml:space="preserve"> </w:t>
      </w:r>
      <w:r>
        <w:rPr>
          <w:color w:val="12404D"/>
        </w:rPr>
        <w:t>filiale</w:t>
      </w:r>
      <w:r>
        <w:rPr>
          <w:color w:val="12404D"/>
          <w:spacing w:val="-6"/>
        </w:rPr>
        <w:t xml:space="preserve"> </w:t>
      </w:r>
      <w:r>
        <w:rPr>
          <w:color w:val="12404D"/>
        </w:rPr>
        <w:t>du</w:t>
      </w:r>
      <w:r>
        <w:rPr>
          <w:color w:val="12404D"/>
          <w:spacing w:val="-7"/>
        </w:rPr>
        <w:t xml:space="preserve"> </w:t>
      </w:r>
      <w:r>
        <w:rPr>
          <w:color w:val="12404D"/>
        </w:rPr>
        <w:t>groupe</w:t>
      </w:r>
      <w:r>
        <w:rPr>
          <w:color w:val="12404D"/>
          <w:spacing w:val="-5"/>
        </w:rPr>
        <w:t xml:space="preserve"> </w:t>
      </w:r>
      <w:r>
        <w:rPr>
          <w:color w:val="12404D"/>
        </w:rPr>
        <w:t>Orange,</w:t>
      </w:r>
      <w:r>
        <w:rPr>
          <w:color w:val="12404D"/>
          <w:spacing w:val="-6"/>
        </w:rPr>
        <w:t xml:space="preserve"> </w:t>
      </w:r>
      <w:r>
        <w:rPr>
          <w:color w:val="12404D"/>
        </w:rPr>
        <w:t>a</w:t>
      </w:r>
      <w:r>
        <w:rPr>
          <w:color w:val="12404D"/>
          <w:spacing w:val="-6"/>
        </w:rPr>
        <w:t xml:space="preserve"> </w:t>
      </w:r>
      <w:r>
        <w:rPr>
          <w:color w:val="12404D"/>
        </w:rPr>
        <w:t>développé</w:t>
      </w:r>
      <w:r>
        <w:rPr>
          <w:color w:val="12404D"/>
          <w:spacing w:val="-7"/>
        </w:rPr>
        <w:t xml:space="preserve"> </w:t>
      </w:r>
      <w:r>
        <w:rPr>
          <w:color w:val="12404D"/>
        </w:rPr>
        <w:t>depuis</w:t>
      </w:r>
      <w:r>
        <w:rPr>
          <w:color w:val="12404D"/>
          <w:spacing w:val="-5"/>
        </w:rPr>
        <w:t xml:space="preserve"> </w:t>
      </w:r>
      <w:r>
        <w:rPr>
          <w:color w:val="12404D"/>
        </w:rPr>
        <w:t>plus</w:t>
      </w:r>
      <w:r>
        <w:rPr>
          <w:color w:val="12404D"/>
          <w:spacing w:val="-6"/>
        </w:rPr>
        <w:t xml:space="preserve"> </w:t>
      </w:r>
      <w:r>
        <w:rPr>
          <w:color w:val="12404D"/>
        </w:rPr>
        <w:t>de</w:t>
      </w:r>
    </w:p>
    <w:p w14:paraId="33A1967B" w14:textId="77777777" w:rsidR="0037432A" w:rsidRDefault="00810D8B">
      <w:pPr>
        <w:pStyle w:val="Corpsdetexte"/>
        <w:spacing w:before="1"/>
        <w:ind w:left="1036" w:right="1415"/>
        <w:jc w:val="both"/>
      </w:pPr>
      <w:r>
        <w:rPr>
          <w:color w:val="12404D"/>
        </w:rPr>
        <w:t>45 ans un savoir-faire unique dans les métiers de l’opérateur, qui en fait aujourd’hui l’un des leaders</w:t>
      </w:r>
      <w:r>
        <w:rPr>
          <w:color w:val="12404D"/>
          <w:spacing w:val="1"/>
        </w:rPr>
        <w:t xml:space="preserve"> </w:t>
      </w:r>
      <w:r>
        <w:rPr>
          <w:color w:val="12404D"/>
        </w:rPr>
        <w:t>mondiaux du conseil et de l’ingénierie. Ces dernières années, plus de 200 acteurs majeurs, dans plus de</w:t>
      </w:r>
      <w:r>
        <w:rPr>
          <w:color w:val="12404D"/>
          <w:spacing w:val="1"/>
        </w:rPr>
        <w:t xml:space="preserve"> </w:t>
      </w:r>
      <w:r>
        <w:rPr>
          <w:color w:val="12404D"/>
        </w:rPr>
        <w:t>100</w:t>
      </w:r>
      <w:r>
        <w:rPr>
          <w:color w:val="12404D"/>
          <w:spacing w:val="-7"/>
        </w:rPr>
        <w:t xml:space="preserve"> </w:t>
      </w:r>
      <w:r>
        <w:rPr>
          <w:color w:val="12404D"/>
        </w:rPr>
        <w:t>pays,</w:t>
      </w:r>
      <w:r>
        <w:rPr>
          <w:color w:val="12404D"/>
          <w:spacing w:val="-6"/>
        </w:rPr>
        <w:t xml:space="preserve"> </w:t>
      </w:r>
      <w:r>
        <w:rPr>
          <w:color w:val="12404D"/>
        </w:rPr>
        <w:t>ont</w:t>
      </w:r>
      <w:r>
        <w:rPr>
          <w:color w:val="12404D"/>
          <w:spacing w:val="-6"/>
        </w:rPr>
        <w:t xml:space="preserve"> </w:t>
      </w:r>
      <w:r>
        <w:rPr>
          <w:color w:val="12404D"/>
        </w:rPr>
        <w:t>confié</w:t>
      </w:r>
      <w:r>
        <w:rPr>
          <w:color w:val="12404D"/>
          <w:spacing w:val="-7"/>
        </w:rPr>
        <w:t xml:space="preserve"> </w:t>
      </w:r>
      <w:r>
        <w:rPr>
          <w:color w:val="12404D"/>
        </w:rPr>
        <w:t>à</w:t>
      </w:r>
      <w:r>
        <w:rPr>
          <w:color w:val="12404D"/>
          <w:spacing w:val="-6"/>
        </w:rPr>
        <w:t xml:space="preserve"> </w:t>
      </w:r>
      <w:proofErr w:type="spellStart"/>
      <w:r>
        <w:rPr>
          <w:color w:val="12404D"/>
        </w:rPr>
        <w:t>Sofrecom</w:t>
      </w:r>
      <w:proofErr w:type="spellEnd"/>
      <w:r>
        <w:rPr>
          <w:color w:val="12404D"/>
          <w:spacing w:val="-6"/>
        </w:rPr>
        <w:t xml:space="preserve"> </w:t>
      </w:r>
      <w:r>
        <w:rPr>
          <w:color w:val="12404D"/>
        </w:rPr>
        <w:t>la</w:t>
      </w:r>
      <w:r>
        <w:rPr>
          <w:color w:val="12404D"/>
          <w:spacing w:val="-7"/>
        </w:rPr>
        <w:t xml:space="preserve"> </w:t>
      </w:r>
      <w:r>
        <w:rPr>
          <w:color w:val="12404D"/>
        </w:rPr>
        <w:t>conduite</w:t>
      </w:r>
      <w:r>
        <w:rPr>
          <w:color w:val="12404D"/>
          <w:spacing w:val="-7"/>
        </w:rPr>
        <w:t xml:space="preserve"> </w:t>
      </w:r>
      <w:r>
        <w:rPr>
          <w:color w:val="12404D"/>
        </w:rPr>
        <w:t>de</w:t>
      </w:r>
      <w:r>
        <w:rPr>
          <w:color w:val="12404D"/>
          <w:spacing w:val="-7"/>
        </w:rPr>
        <w:t xml:space="preserve"> </w:t>
      </w:r>
      <w:r>
        <w:rPr>
          <w:color w:val="12404D"/>
        </w:rPr>
        <w:t>leurs</w:t>
      </w:r>
      <w:r>
        <w:rPr>
          <w:color w:val="12404D"/>
          <w:spacing w:val="-6"/>
        </w:rPr>
        <w:t xml:space="preserve"> </w:t>
      </w:r>
      <w:r>
        <w:rPr>
          <w:color w:val="12404D"/>
        </w:rPr>
        <w:t>projets</w:t>
      </w:r>
      <w:r>
        <w:rPr>
          <w:color w:val="12404D"/>
          <w:spacing w:val="-5"/>
        </w:rPr>
        <w:t xml:space="preserve"> </w:t>
      </w:r>
      <w:r>
        <w:rPr>
          <w:color w:val="12404D"/>
        </w:rPr>
        <w:t>stratégiques</w:t>
      </w:r>
      <w:r>
        <w:rPr>
          <w:color w:val="12404D"/>
          <w:spacing w:val="-7"/>
        </w:rPr>
        <w:t xml:space="preserve"> </w:t>
      </w:r>
      <w:r>
        <w:rPr>
          <w:color w:val="12404D"/>
        </w:rPr>
        <w:t>et</w:t>
      </w:r>
      <w:r>
        <w:rPr>
          <w:color w:val="12404D"/>
          <w:spacing w:val="-6"/>
        </w:rPr>
        <w:t xml:space="preserve"> </w:t>
      </w:r>
      <w:r>
        <w:rPr>
          <w:color w:val="12404D"/>
        </w:rPr>
        <w:t>opérationnels</w:t>
      </w:r>
      <w:r>
        <w:rPr>
          <w:color w:val="12404D"/>
          <w:spacing w:val="-5"/>
        </w:rPr>
        <w:t xml:space="preserve"> </w:t>
      </w:r>
      <w:r>
        <w:rPr>
          <w:color w:val="12404D"/>
        </w:rPr>
        <w:t>:</w:t>
      </w:r>
      <w:r>
        <w:rPr>
          <w:color w:val="12404D"/>
          <w:spacing w:val="-6"/>
        </w:rPr>
        <w:t xml:space="preserve"> </w:t>
      </w:r>
      <w:r>
        <w:rPr>
          <w:color w:val="12404D"/>
        </w:rPr>
        <w:t>transformation</w:t>
      </w:r>
      <w:r>
        <w:rPr>
          <w:color w:val="12404D"/>
          <w:spacing w:val="-48"/>
        </w:rPr>
        <w:t xml:space="preserve"> </w:t>
      </w:r>
      <w:r>
        <w:rPr>
          <w:color w:val="12404D"/>
        </w:rPr>
        <w:t>et optimisation, modernisation technologique, innovation et développement. Son accès privilégié aux</w:t>
      </w:r>
      <w:r>
        <w:rPr>
          <w:color w:val="12404D"/>
          <w:spacing w:val="1"/>
        </w:rPr>
        <w:t xml:space="preserve"> </w:t>
      </w:r>
      <w:r>
        <w:rPr>
          <w:color w:val="12404D"/>
        </w:rPr>
        <w:t xml:space="preserve">expertises et à l’innovation du Groupe Orange permet à </w:t>
      </w:r>
      <w:proofErr w:type="spellStart"/>
      <w:r>
        <w:rPr>
          <w:color w:val="12404D"/>
        </w:rPr>
        <w:t>Sofrecom</w:t>
      </w:r>
      <w:proofErr w:type="spellEnd"/>
      <w:r>
        <w:rPr>
          <w:color w:val="12404D"/>
        </w:rPr>
        <w:t xml:space="preserve"> de proposer à ses clients des solutions</w:t>
      </w:r>
      <w:r>
        <w:rPr>
          <w:color w:val="12404D"/>
          <w:spacing w:val="1"/>
        </w:rPr>
        <w:t xml:space="preserve"> </w:t>
      </w:r>
      <w:r>
        <w:rPr>
          <w:color w:val="12404D"/>
        </w:rPr>
        <w:t>d’avant-garde</w:t>
      </w:r>
      <w:r>
        <w:rPr>
          <w:color w:val="12404D"/>
          <w:spacing w:val="-1"/>
        </w:rPr>
        <w:t xml:space="preserve"> </w:t>
      </w:r>
      <w:r>
        <w:rPr>
          <w:color w:val="12404D"/>
        </w:rPr>
        <w:t>qui</w:t>
      </w:r>
      <w:r>
        <w:rPr>
          <w:color w:val="12404D"/>
          <w:spacing w:val="2"/>
        </w:rPr>
        <w:t xml:space="preserve"> </w:t>
      </w:r>
      <w:r>
        <w:rPr>
          <w:color w:val="12404D"/>
        </w:rPr>
        <w:t>ont</w:t>
      </w:r>
      <w:r>
        <w:rPr>
          <w:color w:val="12404D"/>
          <w:spacing w:val="-1"/>
        </w:rPr>
        <w:t xml:space="preserve"> </w:t>
      </w:r>
      <w:r>
        <w:rPr>
          <w:color w:val="12404D"/>
        </w:rPr>
        <w:t>fait</w:t>
      </w:r>
      <w:r>
        <w:rPr>
          <w:color w:val="12404D"/>
          <w:spacing w:val="1"/>
        </w:rPr>
        <w:t xml:space="preserve"> </w:t>
      </w:r>
      <w:r>
        <w:rPr>
          <w:color w:val="12404D"/>
        </w:rPr>
        <w:t>leurs preuves.</w:t>
      </w:r>
    </w:p>
    <w:p w14:paraId="5916B36A" w14:textId="77777777" w:rsidR="0037432A" w:rsidRDefault="00810D8B">
      <w:pPr>
        <w:pStyle w:val="Corpsdetexte"/>
        <w:spacing w:before="139"/>
        <w:ind w:left="1036" w:right="1420"/>
        <w:jc w:val="both"/>
      </w:pPr>
      <w:proofErr w:type="spellStart"/>
      <w:r>
        <w:rPr>
          <w:color w:val="12404D"/>
        </w:rPr>
        <w:t>Sofrecom</w:t>
      </w:r>
      <w:proofErr w:type="spellEnd"/>
      <w:r>
        <w:rPr>
          <w:color w:val="12404D"/>
        </w:rPr>
        <w:t xml:space="preserve"> est une entreprise internationale riche de sa diversité, avec plus de 1500 consultants et experts</w:t>
      </w:r>
      <w:r>
        <w:rPr>
          <w:color w:val="12404D"/>
          <w:spacing w:val="-47"/>
        </w:rPr>
        <w:t xml:space="preserve"> </w:t>
      </w:r>
      <w:r>
        <w:rPr>
          <w:color w:val="12404D"/>
        </w:rPr>
        <w:t xml:space="preserve">répartis dans 11 implantations à travers le monde et issus de plus de 30 nationalités. </w:t>
      </w:r>
      <w:proofErr w:type="spellStart"/>
      <w:r>
        <w:rPr>
          <w:color w:val="12404D"/>
        </w:rPr>
        <w:t>Sofrecom</w:t>
      </w:r>
      <w:proofErr w:type="spellEnd"/>
      <w:r>
        <w:rPr>
          <w:color w:val="12404D"/>
        </w:rPr>
        <w:t xml:space="preserve"> est avant</w:t>
      </w:r>
      <w:r>
        <w:rPr>
          <w:color w:val="12404D"/>
          <w:spacing w:val="-47"/>
        </w:rPr>
        <w:t xml:space="preserve"> </w:t>
      </w:r>
      <w:r>
        <w:rPr>
          <w:color w:val="12404D"/>
        </w:rPr>
        <w:t>tout un réseau d’hommes et de femmes, un puissant réseau de savoir-faire et d’expertises qui relie ses</w:t>
      </w:r>
      <w:r>
        <w:rPr>
          <w:color w:val="12404D"/>
          <w:spacing w:val="1"/>
        </w:rPr>
        <w:t xml:space="preserve"> </w:t>
      </w:r>
      <w:r>
        <w:rPr>
          <w:color w:val="12404D"/>
        </w:rPr>
        <w:t>clients,</w:t>
      </w:r>
      <w:r>
        <w:rPr>
          <w:color w:val="12404D"/>
          <w:spacing w:val="-1"/>
        </w:rPr>
        <w:t xml:space="preserve"> </w:t>
      </w:r>
      <w:r>
        <w:rPr>
          <w:color w:val="12404D"/>
        </w:rPr>
        <w:t>les experts Orange,</w:t>
      </w:r>
      <w:r>
        <w:rPr>
          <w:color w:val="12404D"/>
          <w:spacing w:val="-1"/>
        </w:rPr>
        <w:t xml:space="preserve"> </w:t>
      </w:r>
      <w:r>
        <w:rPr>
          <w:color w:val="12404D"/>
        </w:rPr>
        <w:t>ses partenaires industriels et</w:t>
      </w:r>
      <w:r>
        <w:rPr>
          <w:color w:val="12404D"/>
          <w:spacing w:val="-1"/>
        </w:rPr>
        <w:t xml:space="preserve"> </w:t>
      </w:r>
      <w:r>
        <w:rPr>
          <w:color w:val="12404D"/>
        </w:rPr>
        <w:t>locaux.</w:t>
      </w:r>
    </w:p>
    <w:p w14:paraId="6F1F811F" w14:textId="6424F224" w:rsidR="00CE5C9D" w:rsidRDefault="00810D8B" w:rsidP="0045177B">
      <w:pPr>
        <w:pStyle w:val="Corpsdetexte"/>
        <w:spacing w:before="140"/>
        <w:ind w:left="1036" w:right="1413"/>
        <w:jc w:val="both"/>
      </w:pPr>
      <w:r>
        <w:rPr>
          <w:color w:val="12404D"/>
        </w:rPr>
        <w:t xml:space="preserve">Lancée en novembre 2011, </w:t>
      </w:r>
      <w:proofErr w:type="spellStart"/>
      <w:r>
        <w:rPr>
          <w:color w:val="12404D"/>
        </w:rPr>
        <w:t>Sofrecom</w:t>
      </w:r>
      <w:proofErr w:type="spellEnd"/>
      <w:r>
        <w:rPr>
          <w:color w:val="12404D"/>
        </w:rPr>
        <w:t xml:space="preserve"> Tunisie compte aujourd’hui plus de 1000 ingénieurs et étend la</w:t>
      </w:r>
      <w:r>
        <w:rPr>
          <w:color w:val="12404D"/>
          <w:spacing w:val="1"/>
        </w:rPr>
        <w:t xml:space="preserve"> </w:t>
      </w:r>
      <w:r>
        <w:rPr>
          <w:color w:val="12404D"/>
        </w:rPr>
        <w:t xml:space="preserve">présence de </w:t>
      </w:r>
      <w:proofErr w:type="spellStart"/>
      <w:r>
        <w:rPr>
          <w:color w:val="12404D"/>
        </w:rPr>
        <w:t>Sofrecom</w:t>
      </w:r>
      <w:proofErr w:type="spellEnd"/>
      <w:r>
        <w:rPr>
          <w:color w:val="12404D"/>
        </w:rPr>
        <w:t xml:space="preserve"> sur la zone Afrique du Nord et Moyen-Orient afin de répondre à une demande</w:t>
      </w:r>
      <w:r>
        <w:rPr>
          <w:color w:val="12404D"/>
          <w:spacing w:val="1"/>
        </w:rPr>
        <w:t xml:space="preserve"> </w:t>
      </w:r>
      <w:r>
        <w:rPr>
          <w:color w:val="12404D"/>
        </w:rPr>
        <w:t>croissante de solutions dédiées et compétitives. Centre de développement et d’expertise pour les plates-</w:t>
      </w:r>
      <w:r>
        <w:rPr>
          <w:color w:val="12404D"/>
          <w:spacing w:val="1"/>
        </w:rPr>
        <w:t xml:space="preserve"> </w:t>
      </w:r>
      <w:r>
        <w:rPr>
          <w:color w:val="12404D"/>
        </w:rPr>
        <w:t xml:space="preserve">formes de services et du système d’information, </w:t>
      </w:r>
      <w:proofErr w:type="spellStart"/>
      <w:r>
        <w:rPr>
          <w:color w:val="12404D"/>
        </w:rPr>
        <w:t>Sofrecom</w:t>
      </w:r>
      <w:proofErr w:type="spellEnd"/>
      <w:r>
        <w:rPr>
          <w:color w:val="12404D"/>
        </w:rPr>
        <w:t xml:space="preserve"> Tunisie s’inscrit en complémentarité des</w:t>
      </w:r>
      <w:r>
        <w:rPr>
          <w:color w:val="12404D"/>
          <w:spacing w:val="1"/>
        </w:rPr>
        <w:t xml:space="preserve"> </w:t>
      </w:r>
      <w:r>
        <w:rPr>
          <w:color w:val="12404D"/>
        </w:rPr>
        <w:t xml:space="preserve">domaines d’activité des autres implantations de </w:t>
      </w:r>
      <w:proofErr w:type="spellStart"/>
      <w:r>
        <w:rPr>
          <w:color w:val="12404D"/>
        </w:rPr>
        <w:t>Sofrecom</w:t>
      </w:r>
      <w:proofErr w:type="spellEnd"/>
      <w:r>
        <w:rPr>
          <w:color w:val="12404D"/>
        </w:rPr>
        <w:t xml:space="preserve"> dans la région et permettra aux clients du</w:t>
      </w:r>
      <w:r>
        <w:rPr>
          <w:color w:val="12404D"/>
          <w:spacing w:val="1"/>
        </w:rPr>
        <w:t xml:space="preserve"> </w:t>
      </w:r>
      <w:r>
        <w:rPr>
          <w:color w:val="12404D"/>
        </w:rPr>
        <w:t>groupe</w:t>
      </w:r>
      <w:r>
        <w:rPr>
          <w:color w:val="12404D"/>
          <w:spacing w:val="-2"/>
        </w:rPr>
        <w:t xml:space="preserve"> </w:t>
      </w:r>
      <w:proofErr w:type="spellStart"/>
      <w:r>
        <w:rPr>
          <w:color w:val="12404D"/>
        </w:rPr>
        <w:t>Sofrecom</w:t>
      </w:r>
      <w:proofErr w:type="spellEnd"/>
      <w:r>
        <w:rPr>
          <w:color w:val="12404D"/>
          <w:spacing w:val="-1"/>
        </w:rPr>
        <w:t xml:space="preserve"> </w:t>
      </w:r>
      <w:r>
        <w:rPr>
          <w:color w:val="12404D"/>
        </w:rPr>
        <w:t>de</w:t>
      </w:r>
      <w:r>
        <w:rPr>
          <w:color w:val="12404D"/>
          <w:spacing w:val="-1"/>
        </w:rPr>
        <w:t xml:space="preserve"> </w:t>
      </w:r>
      <w:r>
        <w:rPr>
          <w:color w:val="12404D"/>
        </w:rPr>
        <w:t>bénéficier</w:t>
      </w:r>
      <w:r>
        <w:rPr>
          <w:color w:val="12404D"/>
          <w:spacing w:val="-3"/>
        </w:rPr>
        <w:t xml:space="preserve"> </w:t>
      </w:r>
      <w:r>
        <w:rPr>
          <w:color w:val="12404D"/>
        </w:rPr>
        <w:t>des synergies entre</w:t>
      </w:r>
      <w:r>
        <w:rPr>
          <w:color w:val="12404D"/>
          <w:spacing w:val="-2"/>
        </w:rPr>
        <w:t xml:space="preserve"> </w:t>
      </w:r>
      <w:r>
        <w:rPr>
          <w:color w:val="12404D"/>
        </w:rPr>
        <w:t>nos</w:t>
      </w:r>
      <w:r>
        <w:rPr>
          <w:color w:val="12404D"/>
          <w:spacing w:val="-1"/>
        </w:rPr>
        <w:t xml:space="preserve"> </w:t>
      </w:r>
      <w:r>
        <w:rPr>
          <w:color w:val="12404D"/>
        </w:rPr>
        <w:t>filiales.</w:t>
      </w:r>
    </w:p>
    <w:p w14:paraId="2092F8CA" w14:textId="77777777" w:rsidR="0045177B" w:rsidRPr="0045177B" w:rsidRDefault="0045177B" w:rsidP="0045177B">
      <w:pPr>
        <w:pStyle w:val="Corpsdetexte"/>
        <w:spacing w:before="140"/>
        <w:ind w:left="1036" w:right="1413"/>
        <w:jc w:val="both"/>
      </w:pPr>
    </w:p>
    <w:p w14:paraId="7E25E882" w14:textId="77777777" w:rsidR="0037432A" w:rsidRPr="00E07C1A" w:rsidRDefault="0037432A">
      <w:pPr>
        <w:pStyle w:val="Corpsdetexte"/>
        <w:spacing w:before="6"/>
        <w:rPr>
          <w:sz w:val="17"/>
        </w:rPr>
      </w:pPr>
    </w:p>
    <w:p w14:paraId="0F55C515" w14:textId="415F1AE6" w:rsidR="0037432A" w:rsidRDefault="00810D8B">
      <w:pPr>
        <w:pStyle w:val="Titre1"/>
      </w:pPr>
      <w:r>
        <w:rPr>
          <w:color w:val="0167AC"/>
        </w:rPr>
        <w:t>Mission</w:t>
      </w:r>
    </w:p>
    <w:p w14:paraId="677B71D3" w14:textId="77777777" w:rsidR="0045177B" w:rsidRPr="0045177B" w:rsidRDefault="0045177B" w:rsidP="0045177B">
      <w:pPr>
        <w:pStyle w:val="Corpsdetexte"/>
        <w:spacing w:before="140"/>
        <w:ind w:left="1036" w:right="1413"/>
        <w:jc w:val="both"/>
        <w:rPr>
          <w:color w:val="12404D"/>
        </w:rPr>
      </w:pPr>
      <w:r w:rsidRPr="0045177B">
        <w:rPr>
          <w:color w:val="12404D"/>
        </w:rPr>
        <w:t xml:space="preserve">OINIS (Orange International Networks Infrastructures and Services) est la direction technique internationale du groupe au service du marché entreprise, du </w:t>
      </w:r>
      <w:proofErr w:type="spellStart"/>
      <w:r w:rsidRPr="0045177B">
        <w:rPr>
          <w:color w:val="12404D"/>
        </w:rPr>
        <w:t>Wholesale</w:t>
      </w:r>
      <w:proofErr w:type="spellEnd"/>
      <w:r w:rsidRPr="0045177B">
        <w:rPr>
          <w:color w:val="12404D"/>
        </w:rPr>
        <w:t xml:space="preserve"> international, des filiales du groupe Orange. OINIS conçoit, déploie, exploite et protège les réseaux infrastructures et services internationaux du Groupe.</w:t>
      </w:r>
    </w:p>
    <w:p w14:paraId="05CAA2F1" w14:textId="77777777" w:rsidR="0045177B" w:rsidRPr="0045177B" w:rsidRDefault="0045177B" w:rsidP="0045177B">
      <w:pPr>
        <w:pStyle w:val="Corpsdetexte"/>
        <w:spacing w:before="140"/>
        <w:ind w:left="1036" w:right="1413"/>
        <w:jc w:val="both"/>
        <w:rPr>
          <w:color w:val="12404D"/>
        </w:rPr>
      </w:pPr>
      <w:r w:rsidRPr="0045177B">
        <w:rPr>
          <w:color w:val="12404D"/>
        </w:rPr>
        <w:t xml:space="preserve">Le programme </w:t>
      </w:r>
      <w:proofErr w:type="spellStart"/>
      <w:r w:rsidRPr="0045177B">
        <w:rPr>
          <w:color w:val="12404D"/>
        </w:rPr>
        <w:t>Unified</w:t>
      </w:r>
      <w:proofErr w:type="spellEnd"/>
      <w:r w:rsidRPr="0045177B">
        <w:rPr>
          <w:color w:val="12404D"/>
        </w:rPr>
        <w:t xml:space="preserve"> Cloud Platform (UCP) est l’initiative de cloud souverain de nouvelle génération du Groupe Orange. UCP est organisé autour de 15 à 20 Product </w:t>
      </w:r>
      <w:proofErr w:type="spellStart"/>
      <w:r w:rsidRPr="0045177B">
        <w:rPr>
          <w:color w:val="12404D"/>
        </w:rPr>
        <w:t>Units</w:t>
      </w:r>
      <w:proofErr w:type="spellEnd"/>
      <w:r w:rsidRPr="0045177B">
        <w:rPr>
          <w:color w:val="12404D"/>
        </w:rPr>
        <w:t xml:space="preserve"> (PU) autonomes qui construisent et industrialisent les services cloud fondateurs (Network L2, Network L3, Bare Metal, Provisioning, Stockage, IAM, API Gateway, </w:t>
      </w:r>
      <w:proofErr w:type="spellStart"/>
      <w:r w:rsidRPr="0045177B">
        <w:rPr>
          <w:color w:val="12404D"/>
        </w:rPr>
        <w:t>Cyphering</w:t>
      </w:r>
      <w:proofErr w:type="spellEnd"/>
      <w:r w:rsidRPr="0045177B">
        <w:rPr>
          <w:color w:val="12404D"/>
        </w:rPr>
        <w:t xml:space="preserve">, outils communs d’exploitation, etc.). Le programme est en phase de transformation intensive : sortie de VMware, conformité souveraine (NIS2, </w:t>
      </w:r>
      <w:proofErr w:type="spellStart"/>
      <w:r w:rsidRPr="0045177B">
        <w:rPr>
          <w:color w:val="12404D"/>
        </w:rPr>
        <w:t>SecNumCloud</w:t>
      </w:r>
      <w:proofErr w:type="spellEnd"/>
      <w:r w:rsidRPr="0045177B">
        <w:rPr>
          <w:color w:val="12404D"/>
        </w:rPr>
        <w:t xml:space="preserve">), intégration TPP et bascule vers une organisation agile tribu / </w:t>
      </w:r>
      <w:proofErr w:type="spellStart"/>
      <w:r w:rsidRPr="0045177B">
        <w:rPr>
          <w:color w:val="12404D"/>
        </w:rPr>
        <w:t>squad</w:t>
      </w:r>
      <w:proofErr w:type="spellEnd"/>
      <w:r w:rsidRPr="0045177B">
        <w:rPr>
          <w:color w:val="12404D"/>
        </w:rPr>
        <w:t xml:space="preserve"> / </w:t>
      </w:r>
      <w:proofErr w:type="spellStart"/>
      <w:r w:rsidRPr="0045177B">
        <w:rPr>
          <w:color w:val="12404D"/>
        </w:rPr>
        <w:t>chapter</w:t>
      </w:r>
      <w:proofErr w:type="spellEnd"/>
      <w:r w:rsidRPr="0045177B">
        <w:rPr>
          <w:color w:val="12404D"/>
        </w:rPr>
        <w:t xml:space="preserve"> avec des pratiques DevOps/SRE.</w:t>
      </w:r>
    </w:p>
    <w:p w14:paraId="7CDC7752" w14:textId="610C9A44" w:rsidR="00FF0303" w:rsidRDefault="0045177B" w:rsidP="0045177B">
      <w:pPr>
        <w:pStyle w:val="Corpsdetexte"/>
        <w:spacing w:before="140"/>
        <w:ind w:left="1036" w:right="1413"/>
        <w:jc w:val="both"/>
        <w:rPr>
          <w:color w:val="12404D"/>
        </w:rPr>
      </w:pPr>
      <w:r w:rsidRPr="0045177B">
        <w:rPr>
          <w:color w:val="12404D"/>
        </w:rPr>
        <w:t xml:space="preserve">L'objet de la mission est de construire et d’opérer le socle </w:t>
      </w:r>
      <w:proofErr w:type="spellStart"/>
      <w:r w:rsidRPr="0045177B">
        <w:rPr>
          <w:color w:val="12404D"/>
        </w:rPr>
        <w:t>Kubernetes</w:t>
      </w:r>
      <w:proofErr w:type="spellEnd"/>
      <w:r w:rsidRPr="0045177B">
        <w:rPr>
          <w:color w:val="12404D"/>
        </w:rPr>
        <w:t xml:space="preserve"> : concevoir, automatiser et exploiter les briques transverses (observabilité, supervision, CI/CD, </w:t>
      </w:r>
      <w:proofErr w:type="spellStart"/>
      <w:r w:rsidRPr="0045177B">
        <w:rPr>
          <w:color w:val="12404D"/>
        </w:rPr>
        <w:t>GitOps</w:t>
      </w:r>
      <w:proofErr w:type="spellEnd"/>
      <w:r w:rsidRPr="0045177B">
        <w:rPr>
          <w:color w:val="12404D"/>
        </w:rPr>
        <w:t xml:space="preserve">, gestion de configuration), de façon fiable, reproductible et pilotée par le code (Infrastructure-as-Code, </w:t>
      </w:r>
      <w:proofErr w:type="spellStart"/>
      <w:r w:rsidRPr="0045177B">
        <w:rPr>
          <w:color w:val="12404D"/>
        </w:rPr>
        <w:t>GitOps</w:t>
      </w:r>
      <w:proofErr w:type="spellEnd"/>
      <w:r w:rsidRPr="0045177B">
        <w:rPr>
          <w:color w:val="12404D"/>
        </w:rPr>
        <w:t xml:space="preserve">, approche SRE). </w:t>
      </w:r>
    </w:p>
    <w:p w14:paraId="44BB705B" w14:textId="77777777" w:rsidR="0045177B" w:rsidRPr="0045177B" w:rsidRDefault="0045177B" w:rsidP="0045177B">
      <w:pPr>
        <w:pStyle w:val="Corpsdetexte"/>
        <w:spacing w:before="140"/>
        <w:ind w:left="1036" w:right="1413"/>
        <w:jc w:val="both"/>
        <w:rPr>
          <w:color w:val="12404D"/>
        </w:rPr>
      </w:pPr>
    </w:p>
    <w:p w14:paraId="30D8EFD3" w14:textId="248FFA66" w:rsidR="0037432A" w:rsidRDefault="00810D8B">
      <w:pPr>
        <w:pStyle w:val="Titre1"/>
        <w:spacing w:before="129"/>
        <w:rPr>
          <w:color w:val="0167AC"/>
          <w:spacing w:val="-1"/>
        </w:rPr>
      </w:pPr>
      <w:r>
        <w:rPr>
          <w:color w:val="0167AC"/>
          <w:spacing w:val="-1"/>
        </w:rPr>
        <w:t>Activités</w:t>
      </w:r>
      <w:r>
        <w:rPr>
          <w:color w:val="0167AC"/>
          <w:spacing w:val="-13"/>
        </w:rPr>
        <w:t xml:space="preserve"> </w:t>
      </w:r>
      <w:r>
        <w:rPr>
          <w:color w:val="0167AC"/>
          <w:spacing w:val="-1"/>
        </w:rPr>
        <w:t>principales</w:t>
      </w:r>
    </w:p>
    <w:p w14:paraId="2B104D6C" w14:textId="77777777" w:rsidR="00CE5C9D" w:rsidRPr="00CE5C9D" w:rsidRDefault="00CE5C9D" w:rsidP="00CE5C9D">
      <w:pPr>
        <w:pStyle w:val="Corpsdetexte"/>
        <w:spacing w:before="140"/>
        <w:ind w:left="1036" w:right="1413"/>
        <w:jc w:val="both"/>
        <w:rPr>
          <w:color w:val="12404D"/>
        </w:rPr>
      </w:pPr>
    </w:p>
    <w:p w14:paraId="7C06C34C" w14:textId="68981A80" w:rsidR="00CE5C9D" w:rsidRPr="00CE5C9D" w:rsidRDefault="0045177B" w:rsidP="0045177B">
      <w:pPr>
        <w:pStyle w:val="Corpsdetexte"/>
        <w:spacing w:before="140"/>
        <w:ind w:left="1036" w:right="1413"/>
        <w:jc w:val="both"/>
        <w:rPr>
          <w:color w:val="12404D"/>
        </w:rPr>
      </w:pPr>
      <w:r w:rsidRPr="0045177B">
        <w:rPr>
          <w:color w:val="12404D"/>
        </w:rPr>
        <w:t>Conception et industrialisation des outils communs</w:t>
      </w:r>
      <w:r w:rsidR="00CE5C9D" w:rsidRPr="00CE5C9D">
        <w:rPr>
          <w:color w:val="12404D"/>
        </w:rPr>
        <w:t xml:space="preserve"> : </w:t>
      </w:r>
    </w:p>
    <w:p w14:paraId="2A7F435B" w14:textId="4F979E3F" w:rsidR="00CE5C9D" w:rsidRPr="00CE5C9D" w:rsidRDefault="0045177B" w:rsidP="00CE5C9D">
      <w:pPr>
        <w:pStyle w:val="Paragraphedeliste"/>
        <w:numPr>
          <w:ilvl w:val="0"/>
          <w:numId w:val="2"/>
        </w:numPr>
        <w:tabs>
          <w:tab w:val="left" w:pos="1756"/>
          <w:tab w:val="left" w:pos="1757"/>
        </w:tabs>
        <w:spacing w:before="212" w:line="254" w:lineRule="auto"/>
        <w:ind w:right="1445"/>
        <w:rPr>
          <w:color w:val="12404D"/>
          <w:sz w:val="20"/>
        </w:rPr>
      </w:pPr>
      <w:r w:rsidRPr="0045177B">
        <w:rPr>
          <w:color w:val="12404D"/>
          <w:sz w:val="20"/>
        </w:rPr>
        <w:t xml:space="preserve">Concevoir, développer et intégrer sur </w:t>
      </w:r>
      <w:proofErr w:type="spellStart"/>
      <w:r w:rsidRPr="0045177B">
        <w:rPr>
          <w:color w:val="12404D"/>
          <w:sz w:val="20"/>
        </w:rPr>
        <w:t>Kubernetes</w:t>
      </w:r>
      <w:proofErr w:type="spellEnd"/>
      <w:r w:rsidRPr="0045177B">
        <w:rPr>
          <w:color w:val="12404D"/>
          <w:sz w:val="20"/>
        </w:rPr>
        <w:t xml:space="preserve"> les outils transverses d’exploitation (observabilité : métriques, logs, traces ; supervision et </w:t>
      </w:r>
      <w:proofErr w:type="spellStart"/>
      <w:r w:rsidRPr="0045177B">
        <w:rPr>
          <w:color w:val="12404D"/>
          <w:sz w:val="20"/>
        </w:rPr>
        <w:t>alerting</w:t>
      </w:r>
      <w:proofErr w:type="spellEnd"/>
      <w:r w:rsidRPr="0045177B">
        <w:rPr>
          <w:color w:val="12404D"/>
          <w:sz w:val="20"/>
        </w:rPr>
        <w:t xml:space="preserve"> ; CI/CD ; </w:t>
      </w:r>
      <w:proofErr w:type="spellStart"/>
      <w:r w:rsidRPr="0045177B">
        <w:rPr>
          <w:color w:val="12404D"/>
          <w:sz w:val="20"/>
        </w:rPr>
        <w:t>GitOps</w:t>
      </w:r>
      <w:proofErr w:type="spellEnd"/>
      <w:r w:rsidRPr="0045177B">
        <w:rPr>
          <w:color w:val="12404D"/>
          <w:sz w:val="20"/>
        </w:rPr>
        <w:t xml:space="preserve"> ; gestion de configuration</w:t>
      </w:r>
      <w:r>
        <w:rPr>
          <w:color w:val="12404D"/>
          <w:sz w:val="20"/>
        </w:rPr>
        <w:t>)</w:t>
      </w:r>
    </w:p>
    <w:p w14:paraId="6F47C090" w14:textId="5DD8C297" w:rsidR="00CE5C9D" w:rsidRPr="0045177B" w:rsidRDefault="0045177B" w:rsidP="0045177B">
      <w:pPr>
        <w:pStyle w:val="Paragraphedeliste"/>
        <w:numPr>
          <w:ilvl w:val="0"/>
          <w:numId w:val="2"/>
        </w:numPr>
        <w:tabs>
          <w:tab w:val="left" w:pos="1756"/>
          <w:tab w:val="left" w:pos="1757"/>
        </w:tabs>
        <w:spacing w:before="212" w:line="254" w:lineRule="auto"/>
        <w:ind w:right="1445"/>
        <w:rPr>
          <w:color w:val="12404D"/>
          <w:sz w:val="20"/>
        </w:rPr>
      </w:pPr>
      <w:r w:rsidRPr="0045177B">
        <w:rPr>
          <w:color w:val="12404D"/>
          <w:sz w:val="20"/>
        </w:rPr>
        <w:t>Industrialiser ces briques sous forme de services mutualisés, réutilisables et en self-service.</w:t>
      </w:r>
    </w:p>
    <w:p w14:paraId="7CE876E4" w14:textId="4CD6B685" w:rsidR="00CE5C9D" w:rsidRPr="0045177B" w:rsidRDefault="0045177B" w:rsidP="0045177B">
      <w:pPr>
        <w:pStyle w:val="Paragraphedeliste"/>
        <w:numPr>
          <w:ilvl w:val="0"/>
          <w:numId w:val="2"/>
        </w:numPr>
        <w:tabs>
          <w:tab w:val="left" w:pos="1756"/>
          <w:tab w:val="left" w:pos="1757"/>
        </w:tabs>
        <w:spacing w:before="212" w:line="254" w:lineRule="auto"/>
        <w:ind w:right="1445"/>
        <w:rPr>
          <w:color w:val="12404D"/>
          <w:sz w:val="20"/>
        </w:rPr>
      </w:pPr>
      <w:r w:rsidRPr="0045177B">
        <w:rPr>
          <w:color w:val="12404D"/>
          <w:sz w:val="20"/>
        </w:rPr>
        <w:t xml:space="preserve">Standardiser et documenter les socles d’outillage et leurs modalités de consommation par les </w:t>
      </w:r>
      <w:proofErr w:type="spellStart"/>
      <w:r w:rsidRPr="0045177B">
        <w:rPr>
          <w:color w:val="12404D"/>
          <w:sz w:val="20"/>
        </w:rPr>
        <w:t>squads</w:t>
      </w:r>
      <w:proofErr w:type="spellEnd"/>
    </w:p>
    <w:p w14:paraId="3899B99E" w14:textId="77777777" w:rsidR="00CE5C9D" w:rsidRDefault="00CE5C9D" w:rsidP="00CE5C9D">
      <w:pPr>
        <w:pStyle w:val="Corpsdetexte"/>
        <w:spacing w:before="140"/>
        <w:ind w:left="1036" w:right="1413"/>
        <w:jc w:val="both"/>
        <w:rPr>
          <w:color w:val="12404D"/>
        </w:rPr>
      </w:pPr>
    </w:p>
    <w:p w14:paraId="57D1CBA9" w14:textId="77777777" w:rsidR="00CE5C9D" w:rsidRDefault="00CE5C9D" w:rsidP="00CE5C9D">
      <w:pPr>
        <w:pStyle w:val="Corpsdetexte"/>
        <w:spacing w:before="140"/>
        <w:ind w:left="1036" w:right="1413"/>
        <w:jc w:val="both"/>
        <w:rPr>
          <w:color w:val="12404D"/>
        </w:rPr>
      </w:pPr>
    </w:p>
    <w:p w14:paraId="4C83C911" w14:textId="617D3911" w:rsidR="00CE5C9D" w:rsidRDefault="00CE5C9D" w:rsidP="00CE5C9D">
      <w:pPr>
        <w:pStyle w:val="Corpsdetexte"/>
        <w:spacing w:before="140"/>
        <w:ind w:left="1036" w:right="1413"/>
        <w:jc w:val="both"/>
        <w:rPr>
          <w:color w:val="12404D"/>
        </w:rPr>
      </w:pPr>
      <w:r>
        <w:rPr>
          <w:rFonts w:ascii="Franklin Gothic Book" w:hAnsi="Franklin Gothic Book"/>
          <w:noProof/>
          <w:color w:val="0267AD"/>
          <w:lang w:eastAsia="fr-FR"/>
        </w:rPr>
        <w:drawing>
          <wp:inline distT="0" distB="0" distL="0" distR="0" wp14:anchorId="1C03249C" wp14:editId="3FA02992">
            <wp:extent cx="2857500" cy="1085850"/>
            <wp:effectExtent l="0" t="0" r="0" b="0"/>
            <wp:docPr id="1709547495" name="Image 1" descr="Une image contenant Graphique, Police, graphisme,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219867" name="Image 1" descr="Une image contenant Graphique, Police, graphisme, logo&#10;&#10;Description générée automatiquement"/>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857500" cy="1085850"/>
                    </a:xfrm>
                    <a:prstGeom prst="rect">
                      <a:avLst/>
                    </a:prstGeom>
                    <a:noFill/>
                    <a:ln>
                      <a:noFill/>
                    </a:ln>
                  </pic:spPr>
                </pic:pic>
              </a:graphicData>
            </a:graphic>
          </wp:inline>
        </w:drawing>
      </w:r>
    </w:p>
    <w:p w14:paraId="17BC9B13" w14:textId="14412BD5" w:rsidR="00CE5C9D" w:rsidRPr="00CE5C9D" w:rsidRDefault="0045177B" w:rsidP="00CE5C9D">
      <w:pPr>
        <w:pStyle w:val="Corpsdetexte"/>
        <w:spacing w:before="140"/>
        <w:ind w:left="1036" w:right="1413"/>
        <w:jc w:val="both"/>
        <w:rPr>
          <w:color w:val="12404D"/>
        </w:rPr>
      </w:pPr>
      <w:r w:rsidRPr="0045177B">
        <w:rPr>
          <w:color w:val="12404D"/>
        </w:rPr>
        <w:t xml:space="preserve">Conception et exploitation des clusters </w:t>
      </w:r>
      <w:proofErr w:type="spellStart"/>
      <w:r w:rsidRPr="0045177B">
        <w:rPr>
          <w:color w:val="12404D"/>
        </w:rPr>
        <w:t>Kubernetes</w:t>
      </w:r>
      <w:proofErr w:type="spellEnd"/>
      <w:r w:rsidR="00CE5C9D" w:rsidRPr="00CE5C9D">
        <w:rPr>
          <w:color w:val="12404D"/>
        </w:rPr>
        <w:t> :</w:t>
      </w:r>
    </w:p>
    <w:p w14:paraId="3995F1DB" w14:textId="37FA5BA7" w:rsidR="00CE5C9D" w:rsidRPr="00CE5C9D" w:rsidRDefault="0045177B" w:rsidP="00CE5C9D">
      <w:pPr>
        <w:pStyle w:val="Paragraphedeliste"/>
        <w:numPr>
          <w:ilvl w:val="0"/>
          <w:numId w:val="2"/>
        </w:numPr>
        <w:tabs>
          <w:tab w:val="left" w:pos="1756"/>
          <w:tab w:val="left" w:pos="1757"/>
        </w:tabs>
        <w:spacing w:before="212" w:line="254" w:lineRule="auto"/>
        <w:ind w:right="1445"/>
        <w:rPr>
          <w:color w:val="12404D"/>
          <w:sz w:val="20"/>
        </w:rPr>
      </w:pPr>
      <w:r w:rsidRPr="0045177B">
        <w:rPr>
          <w:color w:val="12404D"/>
          <w:sz w:val="20"/>
        </w:rPr>
        <w:t xml:space="preserve">Concevoir et opérer les clusters </w:t>
      </w:r>
      <w:proofErr w:type="spellStart"/>
      <w:r w:rsidRPr="0045177B">
        <w:rPr>
          <w:color w:val="12404D"/>
          <w:sz w:val="20"/>
        </w:rPr>
        <w:t>Kubernetes</w:t>
      </w:r>
      <w:proofErr w:type="spellEnd"/>
      <w:r w:rsidRPr="0045177B">
        <w:rPr>
          <w:color w:val="12404D"/>
          <w:sz w:val="20"/>
        </w:rPr>
        <w:t xml:space="preserve"> hébergeant les outils communs : cycle de vie, montées de version, </w:t>
      </w:r>
      <w:proofErr w:type="spellStart"/>
      <w:r w:rsidRPr="0045177B">
        <w:rPr>
          <w:color w:val="12404D"/>
          <w:sz w:val="20"/>
        </w:rPr>
        <w:t>scaling</w:t>
      </w:r>
      <w:proofErr w:type="spellEnd"/>
      <w:r w:rsidRPr="0045177B">
        <w:rPr>
          <w:color w:val="12404D"/>
          <w:sz w:val="20"/>
        </w:rPr>
        <w:t>, réseau (CNI), stockage et durcissement sécurité</w:t>
      </w:r>
    </w:p>
    <w:p w14:paraId="486C431D" w14:textId="696BEBF5" w:rsidR="00CE5C9D" w:rsidRPr="00CE5C9D" w:rsidRDefault="0045177B" w:rsidP="00CE5C9D">
      <w:pPr>
        <w:pStyle w:val="Paragraphedeliste"/>
        <w:numPr>
          <w:ilvl w:val="0"/>
          <w:numId w:val="2"/>
        </w:numPr>
        <w:tabs>
          <w:tab w:val="left" w:pos="1756"/>
          <w:tab w:val="left" w:pos="1757"/>
        </w:tabs>
        <w:spacing w:before="212" w:line="254" w:lineRule="auto"/>
        <w:ind w:right="1445"/>
        <w:rPr>
          <w:color w:val="12404D"/>
          <w:sz w:val="20"/>
        </w:rPr>
      </w:pPr>
      <w:r w:rsidRPr="0045177B">
        <w:rPr>
          <w:color w:val="12404D"/>
          <w:sz w:val="20"/>
        </w:rPr>
        <w:t xml:space="preserve">Appliquer l’Infrastructure-as-Code et le </w:t>
      </w:r>
      <w:proofErr w:type="spellStart"/>
      <w:r w:rsidRPr="0045177B">
        <w:rPr>
          <w:color w:val="12404D"/>
          <w:sz w:val="20"/>
        </w:rPr>
        <w:t>GitOps</w:t>
      </w:r>
      <w:proofErr w:type="spellEnd"/>
      <w:r w:rsidRPr="0045177B">
        <w:rPr>
          <w:color w:val="12404D"/>
          <w:sz w:val="20"/>
        </w:rPr>
        <w:t xml:space="preserve"> (</w:t>
      </w:r>
      <w:proofErr w:type="spellStart"/>
      <w:r w:rsidRPr="0045177B">
        <w:rPr>
          <w:color w:val="12404D"/>
          <w:sz w:val="20"/>
        </w:rPr>
        <w:t>Terraform</w:t>
      </w:r>
      <w:proofErr w:type="spellEnd"/>
      <w:r w:rsidRPr="0045177B">
        <w:rPr>
          <w:color w:val="12404D"/>
          <w:sz w:val="20"/>
        </w:rPr>
        <w:t>/</w:t>
      </w:r>
      <w:proofErr w:type="spellStart"/>
      <w:r w:rsidRPr="0045177B">
        <w:rPr>
          <w:color w:val="12404D"/>
          <w:sz w:val="20"/>
        </w:rPr>
        <w:t>OpenTofu</w:t>
      </w:r>
      <w:proofErr w:type="spellEnd"/>
      <w:r w:rsidRPr="0045177B">
        <w:rPr>
          <w:color w:val="12404D"/>
          <w:sz w:val="20"/>
        </w:rPr>
        <w:t xml:space="preserve">, Helm, </w:t>
      </w:r>
      <w:proofErr w:type="spellStart"/>
      <w:r w:rsidRPr="0045177B">
        <w:rPr>
          <w:color w:val="12404D"/>
          <w:sz w:val="20"/>
        </w:rPr>
        <w:t>ArgoCD</w:t>
      </w:r>
      <w:proofErr w:type="spellEnd"/>
      <w:r w:rsidRPr="0045177B">
        <w:rPr>
          <w:color w:val="12404D"/>
          <w:sz w:val="20"/>
        </w:rPr>
        <w:t>/Flux) pour rendre la plateforme déclarative et reproductible</w:t>
      </w:r>
    </w:p>
    <w:p w14:paraId="7C57803B" w14:textId="1FE0BAC6" w:rsidR="00CE5C9D" w:rsidRPr="00CE5C9D" w:rsidRDefault="0045177B" w:rsidP="00CE5C9D">
      <w:pPr>
        <w:pStyle w:val="Paragraphedeliste"/>
        <w:numPr>
          <w:ilvl w:val="0"/>
          <w:numId w:val="2"/>
        </w:numPr>
        <w:tabs>
          <w:tab w:val="left" w:pos="1756"/>
          <w:tab w:val="left" w:pos="1757"/>
        </w:tabs>
        <w:spacing w:before="212" w:line="254" w:lineRule="auto"/>
        <w:ind w:right="1445"/>
        <w:rPr>
          <w:color w:val="12404D"/>
          <w:sz w:val="20"/>
        </w:rPr>
      </w:pPr>
      <w:r>
        <w:rPr>
          <w:color w:val="12404D"/>
          <w:sz w:val="20"/>
        </w:rPr>
        <w:t>Const</w:t>
      </w:r>
      <w:r w:rsidRPr="0045177B">
        <w:rPr>
          <w:color w:val="12404D"/>
          <w:sz w:val="20"/>
        </w:rPr>
        <w:t xml:space="preserve">ruire et opérer les pipelines CI/CD de </w:t>
      </w:r>
      <w:proofErr w:type="spellStart"/>
      <w:r w:rsidRPr="0045177B">
        <w:rPr>
          <w:color w:val="12404D"/>
          <w:sz w:val="20"/>
        </w:rPr>
        <w:t>build</w:t>
      </w:r>
      <w:proofErr w:type="spellEnd"/>
      <w:r w:rsidRPr="0045177B">
        <w:rPr>
          <w:color w:val="12404D"/>
          <w:sz w:val="20"/>
        </w:rPr>
        <w:t>, de validation et de déploiement des outils</w:t>
      </w:r>
    </w:p>
    <w:p w14:paraId="26F9DFC7" w14:textId="77777777" w:rsidR="00CE5C9D" w:rsidRDefault="00CE5C9D" w:rsidP="00CE5C9D">
      <w:pPr>
        <w:pStyle w:val="Paragraphedeliste"/>
        <w:spacing w:line="276" w:lineRule="auto"/>
        <w:rPr>
          <w:rFonts w:ascii="Franklin Gothic Book" w:eastAsia="Franklin Gothic Book" w:hAnsi="Franklin Gothic Book" w:cs="Times New Roman"/>
          <w:color w:val="000000" w:themeColor="text1"/>
        </w:rPr>
      </w:pPr>
    </w:p>
    <w:p w14:paraId="5DAF778C" w14:textId="36E9F300" w:rsidR="0045177B" w:rsidRPr="00CE5C9D" w:rsidRDefault="0045177B" w:rsidP="0045177B">
      <w:pPr>
        <w:pStyle w:val="Corpsdetexte"/>
        <w:spacing w:before="140"/>
        <w:ind w:left="1036" w:right="1413"/>
        <w:jc w:val="both"/>
        <w:rPr>
          <w:color w:val="12404D"/>
        </w:rPr>
      </w:pPr>
      <w:r w:rsidRPr="0045177B">
        <w:rPr>
          <w:color w:val="12404D"/>
        </w:rPr>
        <w:t>Fiabilité en production et approche SRE</w:t>
      </w:r>
      <w:r w:rsidRPr="00CE5C9D">
        <w:rPr>
          <w:color w:val="12404D"/>
        </w:rPr>
        <w:t> :</w:t>
      </w:r>
    </w:p>
    <w:p w14:paraId="2F8A24FB" w14:textId="3D4B5B43" w:rsidR="0045177B" w:rsidRPr="00CE5C9D" w:rsidRDefault="000F4C45" w:rsidP="0045177B">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Définir et tenir les SLO des outils communs, mettre en place l’observabilité et l’</w:t>
      </w:r>
      <w:proofErr w:type="spellStart"/>
      <w:r w:rsidRPr="000F4C45">
        <w:rPr>
          <w:color w:val="12404D"/>
          <w:sz w:val="20"/>
        </w:rPr>
        <w:t>alerting</w:t>
      </w:r>
      <w:proofErr w:type="spellEnd"/>
      <w:r w:rsidRPr="000F4C45">
        <w:rPr>
          <w:color w:val="12404D"/>
          <w:sz w:val="20"/>
        </w:rPr>
        <w:t xml:space="preserve"> de la plateforme d’outillage elle-même</w:t>
      </w:r>
      <w:r w:rsidR="0045177B" w:rsidRPr="00CE5C9D">
        <w:rPr>
          <w:color w:val="12404D"/>
          <w:sz w:val="20"/>
        </w:rPr>
        <w:t xml:space="preserve"> </w:t>
      </w:r>
    </w:p>
    <w:p w14:paraId="61B972F8" w14:textId="68B3EF6E" w:rsidR="0045177B" w:rsidRPr="000F4C45" w:rsidRDefault="000F4C45" w:rsidP="000F4C45">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Assurer la gestion des incidents, les post-</w:t>
      </w:r>
      <w:proofErr w:type="spellStart"/>
      <w:r w:rsidRPr="000F4C45">
        <w:rPr>
          <w:color w:val="12404D"/>
          <w:sz w:val="20"/>
        </w:rPr>
        <w:t>mortems</w:t>
      </w:r>
      <w:proofErr w:type="spellEnd"/>
      <w:r w:rsidRPr="000F4C45">
        <w:rPr>
          <w:color w:val="12404D"/>
          <w:sz w:val="20"/>
        </w:rPr>
        <w:t xml:space="preserve"> et la réduction continue du </w:t>
      </w:r>
      <w:proofErr w:type="spellStart"/>
      <w:r w:rsidRPr="000F4C45">
        <w:rPr>
          <w:color w:val="12404D"/>
          <w:sz w:val="20"/>
        </w:rPr>
        <w:t>toil</w:t>
      </w:r>
      <w:proofErr w:type="spellEnd"/>
      <w:r w:rsidRPr="000F4C45">
        <w:rPr>
          <w:color w:val="12404D"/>
          <w:sz w:val="20"/>
        </w:rPr>
        <w:t>.</w:t>
      </w:r>
    </w:p>
    <w:p w14:paraId="12425012" w14:textId="3DA69099" w:rsidR="000F4C45" w:rsidRPr="000F4C45" w:rsidRDefault="000F4C45" w:rsidP="000F4C45">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Garantir la disponibilité, la performance et la sécurité des outils transverses en production.</w:t>
      </w:r>
    </w:p>
    <w:p w14:paraId="6E3E0E17" w14:textId="77777777" w:rsidR="0045177B" w:rsidRPr="000F4C45" w:rsidRDefault="0045177B" w:rsidP="000F4C45">
      <w:pPr>
        <w:tabs>
          <w:tab w:val="left" w:pos="1756"/>
          <w:tab w:val="left" w:pos="1757"/>
        </w:tabs>
        <w:spacing w:before="212" w:line="254" w:lineRule="auto"/>
        <w:ind w:left="1396" w:right="1445"/>
        <w:rPr>
          <w:color w:val="12404D"/>
          <w:sz w:val="20"/>
        </w:rPr>
      </w:pPr>
    </w:p>
    <w:p w14:paraId="1D6656B3" w14:textId="2701143F" w:rsidR="0045177B" w:rsidRPr="00CE5C9D" w:rsidRDefault="000F4C45" w:rsidP="0045177B">
      <w:pPr>
        <w:pStyle w:val="Corpsdetexte"/>
        <w:spacing w:before="140"/>
        <w:ind w:left="1036" w:right="1413"/>
        <w:jc w:val="both"/>
        <w:rPr>
          <w:color w:val="12404D"/>
        </w:rPr>
      </w:pPr>
      <w:r w:rsidRPr="000F4C45">
        <w:rPr>
          <w:color w:val="12404D"/>
        </w:rPr>
        <w:t xml:space="preserve">Support, documentation et amélioration de la </w:t>
      </w:r>
      <w:proofErr w:type="spellStart"/>
      <w:r w:rsidRPr="000F4C45">
        <w:rPr>
          <w:color w:val="12404D"/>
        </w:rPr>
        <w:t>squad</w:t>
      </w:r>
      <w:proofErr w:type="spellEnd"/>
      <w:r w:rsidR="0045177B" w:rsidRPr="00CE5C9D">
        <w:rPr>
          <w:color w:val="12404D"/>
        </w:rPr>
        <w:t> :</w:t>
      </w:r>
    </w:p>
    <w:p w14:paraId="7A18E1F2" w14:textId="4324A84F" w:rsidR="0045177B" w:rsidRPr="00CE5C9D" w:rsidRDefault="000F4C45" w:rsidP="0045177B">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Apporter le support aux PU dans l’usage des outils communs et accompagner leur adoption</w:t>
      </w:r>
    </w:p>
    <w:p w14:paraId="27A107B6" w14:textId="0665F32B" w:rsidR="0045177B" w:rsidRPr="00CE5C9D" w:rsidRDefault="000F4C45" w:rsidP="0045177B">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 xml:space="preserve">Produire et maintenir la documentation technique, les </w:t>
      </w:r>
      <w:proofErr w:type="spellStart"/>
      <w:r w:rsidRPr="000F4C45">
        <w:rPr>
          <w:color w:val="12404D"/>
          <w:sz w:val="20"/>
        </w:rPr>
        <w:t>runbooks</w:t>
      </w:r>
      <w:proofErr w:type="spellEnd"/>
      <w:r w:rsidRPr="000F4C45">
        <w:rPr>
          <w:color w:val="12404D"/>
          <w:sz w:val="20"/>
        </w:rPr>
        <w:t xml:space="preserve"> et les procédures d’exploitation</w:t>
      </w:r>
    </w:p>
    <w:p w14:paraId="67B1A243" w14:textId="45A9B84A" w:rsidR="0045177B" w:rsidRDefault="000F4C45" w:rsidP="0045177B">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 xml:space="preserve">Élever le niveau de la </w:t>
      </w:r>
      <w:proofErr w:type="spellStart"/>
      <w:r w:rsidRPr="000F4C45">
        <w:rPr>
          <w:color w:val="12404D"/>
          <w:sz w:val="20"/>
        </w:rPr>
        <w:t>squad</w:t>
      </w:r>
      <w:proofErr w:type="spellEnd"/>
      <w:r w:rsidRPr="000F4C45">
        <w:rPr>
          <w:color w:val="12404D"/>
          <w:sz w:val="20"/>
        </w:rPr>
        <w:t xml:space="preserve"> (revues de code, bonnes pratiques, mentorat) et contribuer à l’amélioration continue du </w:t>
      </w:r>
      <w:proofErr w:type="spellStart"/>
      <w:r w:rsidRPr="000F4C45">
        <w:rPr>
          <w:color w:val="12404D"/>
          <w:sz w:val="20"/>
        </w:rPr>
        <w:t>chapter</w:t>
      </w:r>
      <w:proofErr w:type="spellEnd"/>
      <w:r w:rsidRPr="000F4C45">
        <w:rPr>
          <w:color w:val="12404D"/>
          <w:sz w:val="20"/>
        </w:rPr>
        <w:t xml:space="preserve"> DevOps/SRE</w:t>
      </w:r>
    </w:p>
    <w:p w14:paraId="09715E15" w14:textId="77777777" w:rsidR="000F4C45" w:rsidRDefault="000F4C45" w:rsidP="000F4C45">
      <w:pPr>
        <w:tabs>
          <w:tab w:val="left" w:pos="1756"/>
          <w:tab w:val="left" w:pos="1757"/>
        </w:tabs>
        <w:spacing w:before="212" w:line="254" w:lineRule="auto"/>
        <w:ind w:left="1396" w:right="1445"/>
        <w:rPr>
          <w:color w:val="12404D"/>
          <w:sz w:val="20"/>
        </w:rPr>
      </w:pPr>
    </w:p>
    <w:p w14:paraId="102B7BC7" w14:textId="77777777" w:rsidR="000F4C45" w:rsidRPr="0045177B" w:rsidRDefault="000F4C45" w:rsidP="000F4C45">
      <w:pPr>
        <w:pStyle w:val="Corpsdetexte"/>
        <w:spacing w:before="140"/>
        <w:ind w:left="1036" w:right="1413"/>
        <w:jc w:val="both"/>
        <w:rPr>
          <w:color w:val="12404D"/>
        </w:rPr>
      </w:pPr>
    </w:p>
    <w:p w14:paraId="6F384BB2" w14:textId="69FF194E" w:rsidR="000F4C45" w:rsidRDefault="000F4C45" w:rsidP="000F4C45">
      <w:pPr>
        <w:pStyle w:val="Titre1"/>
        <w:spacing w:before="129"/>
        <w:rPr>
          <w:color w:val="0167AC"/>
          <w:spacing w:val="-1"/>
        </w:rPr>
      </w:pPr>
      <w:r>
        <w:rPr>
          <w:color w:val="0167AC"/>
          <w:spacing w:val="-1"/>
        </w:rPr>
        <w:t>Livrables</w:t>
      </w:r>
    </w:p>
    <w:p w14:paraId="5DBCD3AA" w14:textId="77777777" w:rsidR="000F4C45" w:rsidRPr="00CE5C9D" w:rsidRDefault="000F4C45" w:rsidP="000F4C45">
      <w:pPr>
        <w:pStyle w:val="Corpsdetexte"/>
        <w:spacing w:before="140"/>
        <w:ind w:left="1036" w:right="1413"/>
        <w:jc w:val="both"/>
        <w:rPr>
          <w:color w:val="12404D"/>
        </w:rPr>
      </w:pPr>
    </w:p>
    <w:p w14:paraId="63867CAD" w14:textId="1E1066A6" w:rsidR="0045177B" w:rsidRPr="00CE5C9D" w:rsidRDefault="000F4C45" w:rsidP="0045177B">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 xml:space="preserve">Outils communs d’exploitation (observabilité, supervision, CI/CD, </w:t>
      </w:r>
      <w:proofErr w:type="spellStart"/>
      <w:r w:rsidRPr="000F4C45">
        <w:rPr>
          <w:color w:val="12404D"/>
          <w:sz w:val="20"/>
        </w:rPr>
        <w:t>GitOps</w:t>
      </w:r>
      <w:proofErr w:type="spellEnd"/>
      <w:r w:rsidRPr="000F4C45">
        <w:rPr>
          <w:color w:val="12404D"/>
          <w:sz w:val="20"/>
        </w:rPr>
        <w:t>, gestion de configuration) industrialisés, versionnés et documentés</w:t>
      </w:r>
    </w:p>
    <w:p w14:paraId="3969D383" w14:textId="4AED927B" w:rsidR="0045177B" w:rsidRPr="00CE5C9D" w:rsidRDefault="000F4C45" w:rsidP="0045177B">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 xml:space="preserve">Clusters </w:t>
      </w:r>
      <w:proofErr w:type="spellStart"/>
      <w:r w:rsidRPr="000F4C45">
        <w:rPr>
          <w:color w:val="12404D"/>
          <w:sz w:val="20"/>
        </w:rPr>
        <w:t>Kubernetes</w:t>
      </w:r>
      <w:proofErr w:type="spellEnd"/>
      <w:r w:rsidRPr="000F4C45">
        <w:rPr>
          <w:color w:val="12404D"/>
          <w:sz w:val="20"/>
        </w:rPr>
        <w:t xml:space="preserve"> opérés pour les outils communs, avec configurations Infrastructure-as-Code et </w:t>
      </w:r>
      <w:proofErr w:type="spellStart"/>
      <w:r w:rsidRPr="000F4C45">
        <w:rPr>
          <w:color w:val="12404D"/>
          <w:sz w:val="20"/>
        </w:rPr>
        <w:t>GitOps</w:t>
      </w:r>
      <w:proofErr w:type="spellEnd"/>
      <w:r w:rsidRPr="000F4C45">
        <w:rPr>
          <w:color w:val="12404D"/>
          <w:sz w:val="20"/>
        </w:rPr>
        <w:t xml:space="preserve"> associées</w:t>
      </w:r>
    </w:p>
    <w:p w14:paraId="2BE41A30" w14:textId="69EB569A" w:rsidR="0045177B" w:rsidRPr="000F4C45" w:rsidRDefault="000F4C45" w:rsidP="000F4C45">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 xml:space="preserve">Pipelines CI/CD de </w:t>
      </w:r>
      <w:proofErr w:type="spellStart"/>
      <w:r w:rsidRPr="000F4C45">
        <w:rPr>
          <w:color w:val="12404D"/>
          <w:sz w:val="20"/>
        </w:rPr>
        <w:t>build</w:t>
      </w:r>
      <w:proofErr w:type="spellEnd"/>
      <w:r w:rsidRPr="000F4C45">
        <w:rPr>
          <w:color w:val="12404D"/>
          <w:sz w:val="20"/>
        </w:rPr>
        <w:t>, de validation et de déploiement.</w:t>
      </w:r>
    </w:p>
    <w:p w14:paraId="68CD75DB" w14:textId="64124DC3" w:rsidR="0045177B" w:rsidRPr="00CE5C9D" w:rsidRDefault="000F4C45" w:rsidP="0045177B">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 xml:space="preserve">Dispositif d’observabilité, tableaux de bord de SLO et </w:t>
      </w:r>
      <w:proofErr w:type="spellStart"/>
      <w:r w:rsidRPr="000F4C45">
        <w:rPr>
          <w:color w:val="12404D"/>
          <w:sz w:val="20"/>
        </w:rPr>
        <w:t>alerting</w:t>
      </w:r>
      <w:proofErr w:type="spellEnd"/>
      <w:r w:rsidRPr="000F4C45">
        <w:rPr>
          <w:color w:val="12404D"/>
          <w:sz w:val="20"/>
        </w:rPr>
        <w:t xml:space="preserve"> ; </w:t>
      </w:r>
      <w:proofErr w:type="spellStart"/>
      <w:r w:rsidRPr="000F4C45">
        <w:rPr>
          <w:color w:val="12404D"/>
          <w:sz w:val="20"/>
        </w:rPr>
        <w:t>runbooks</w:t>
      </w:r>
      <w:proofErr w:type="spellEnd"/>
      <w:r w:rsidRPr="000F4C45">
        <w:rPr>
          <w:color w:val="12404D"/>
          <w:sz w:val="20"/>
        </w:rPr>
        <w:t xml:space="preserve"> d’exploitation et post-</w:t>
      </w:r>
      <w:proofErr w:type="spellStart"/>
      <w:r w:rsidRPr="000F4C45">
        <w:rPr>
          <w:color w:val="12404D"/>
          <w:sz w:val="20"/>
        </w:rPr>
        <w:t>mortems</w:t>
      </w:r>
      <w:proofErr w:type="spellEnd"/>
      <w:r w:rsidR="0045177B" w:rsidRPr="00CE5C9D">
        <w:rPr>
          <w:color w:val="12404D"/>
          <w:sz w:val="20"/>
        </w:rPr>
        <w:t>.</w:t>
      </w:r>
    </w:p>
    <w:p w14:paraId="49034E8A" w14:textId="2238D4ED" w:rsidR="000F4C45" w:rsidRPr="000F4C45" w:rsidRDefault="000F4C45" w:rsidP="000F4C45">
      <w:pPr>
        <w:pStyle w:val="Paragraphedeliste"/>
        <w:numPr>
          <w:ilvl w:val="0"/>
          <w:numId w:val="2"/>
        </w:numPr>
        <w:tabs>
          <w:tab w:val="left" w:pos="1756"/>
          <w:tab w:val="left" w:pos="1757"/>
        </w:tabs>
        <w:spacing w:before="212" w:line="254" w:lineRule="auto"/>
        <w:ind w:right="1445"/>
        <w:rPr>
          <w:color w:val="12404D"/>
          <w:sz w:val="20"/>
        </w:rPr>
      </w:pPr>
      <w:r w:rsidRPr="000F4C45">
        <w:rPr>
          <w:color w:val="12404D"/>
          <w:sz w:val="20"/>
        </w:rPr>
        <w:t xml:space="preserve">Documentation technique, guides de consommation pour les PU et référentiel de bonnes pratiques de la </w:t>
      </w:r>
      <w:proofErr w:type="spellStart"/>
      <w:r w:rsidRPr="000F4C45">
        <w:rPr>
          <w:color w:val="12404D"/>
          <w:sz w:val="20"/>
        </w:rPr>
        <w:t>squad</w:t>
      </w:r>
      <w:proofErr w:type="spellEnd"/>
      <w:r w:rsidRPr="000F4C45">
        <w:rPr>
          <w:color w:val="12404D"/>
          <w:sz w:val="20"/>
        </w:rPr>
        <w:t>.</w:t>
      </w:r>
    </w:p>
    <w:p w14:paraId="088B0E91" w14:textId="77777777" w:rsidR="0045177B" w:rsidRDefault="0045177B" w:rsidP="00CE5C9D">
      <w:pPr>
        <w:pStyle w:val="Paragraphedeliste"/>
        <w:spacing w:line="276" w:lineRule="auto"/>
        <w:rPr>
          <w:color w:val="12404D"/>
          <w:sz w:val="20"/>
        </w:rPr>
      </w:pPr>
    </w:p>
    <w:p w14:paraId="2715187C" w14:textId="77777777" w:rsidR="000F4C45" w:rsidRDefault="000F4C45" w:rsidP="00CE5C9D">
      <w:pPr>
        <w:pStyle w:val="Paragraphedeliste"/>
        <w:spacing w:line="276" w:lineRule="auto"/>
        <w:rPr>
          <w:color w:val="12404D"/>
          <w:sz w:val="20"/>
        </w:rPr>
      </w:pPr>
    </w:p>
    <w:p w14:paraId="471C47D5" w14:textId="77777777" w:rsidR="000F4C45" w:rsidRDefault="000F4C45" w:rsidP="00CE5C9D">
      <w:pPr>
        <w:pStyle w:val="Paragraphedeliste"/>
        <w:spacing w:line="276" w:lineRule="auto"/>
        <w:rPr>
          <w:color w:val="12404D"/>
          <w:sz w:val="20"/>
        </w:rPr>
      </w:pPr>
    </w:p>
    <w:p w14:paraId="4C249DD0" w14:textId="77777777" w:rsidR="000F4C45" w:rsidRDefault="000F4C45" w:rsidP="00CE5C9D">
      <w:pPr>
        <w:pStyle w:val="Paragraphedeliste"/>
        <w:spacing w:line="276" w:lineRule="auto"/>
        <w:rPr>
          <w:color w:val="12404D"/>
          <w:sz w:val="20"/>
        </w:rPr>
      </w:pPr>
    </w:p>
    <w:p w14:paraId="75162762" w14:textId="77777777" w:rsidR="000F4C45" w:rsidRDefault="000F4C45" w:rsidP="00CE5C9D">
      <w:pPr>
        <w:pStyle w:val="Paragraphedeliste"/>
        <w:spacing w:line="276" w:lineRule="auto"/>
        <w:rPr>
          <w:color w:val="12404D"/>
          <w:sz w:val="20"/>
        </w:rPr>
      </w:pPr>
    </w:p>
    <w:p w14:paraId="6FA68223" w14:textId="77777777" w:rsidR="000F4C45" w:rsidRPr="00ED723A" w:rsidRDefault="000F4C45" w:rsidP="00CE5C9D">
      <w:pPr>
        <w:pStyle w:val="Paragraphedeliste"/>
        <w:spacing w:line="276" w:lineRule="auto"/>
        <w:rPr>
          <w:rFonts w:ascii="Franklin Gothic Book" w:eastAsia="Franklin Gothic Book" w:hAnsi="Franklin Gothic Book" w:cs="Times New Roman"/>
          <w:color w:val="000000" w:themeColor="text1"/>
        </w:rPr>
      </w:pPr>
    </w:p>
    <w:p w14:paraId="5B0AA9AA" w14:textId="77777777" w:rsidR="00CE5C9D" w:rsidRDefault="00CE5C9D" w:rsidP="00CE5C9D">
      <w:pPr>
        <w:spacing w:line="276" w:lineRule="auto"/>
        <w:rPr>
          <w:rFonts w:ascii="Franklin Gothic Book" w:eastAsia="Franklin Gothic Book" w:hAnsi="Franklin Gothic Book" w:cs="Times New Roman"/>
          <w:color w:val="000000" w:themeColor="text1"/>
        </w:rPr>
      </w:pPr>
    </w:p>
    <w:p w14:paraId="431BBD78" w14:textId="77777777" w:rsidR="00CE5C9D" w:rsidRDefault="00CE5C9D" w:rsidP="00CE5C9D">
      <w:pPr>
        <w:spacing w:line="276" w:lineRule="auto"/>
        <w:rPr>
          <w:rFonts w:ascii="Franklin Gothic Book" w:eastAsia="Franklin Gothic Book" w:hAnsi="Franklin Gothic Book" w:cs="Times New Roman"/>
          <w:color w:val="000000" w:themeColor="text1"/>
        </w:rPr>
      </w:pPr>
    </w:p>
    <w:p w14:paraId="71F4A666" w14:textId="30BB7103" w:rsidR="00E94BAE" w:rsidRPr="00CE5C9D" w:rsidRDefault="00E94BAE" w:rsidP="00CE5C9D">
      <w:pPr>
        <w:pStyle w:val="Titre1"/>
        <w:spacing w:before="129"/>
        <w:rPr>
          <w:color w:val="0167AC"/>
          <w:spacing w:val="-1"/>
        </w:rPr>
      </w:pPr>
      <w:r w:rsidRPr="00CE5C9D">
        <w:rPr>
          <w:color w:val="0167AC"/>
          <w:spacing w:val="-1"/>
        </w:rPr>
        <w:t>Compétences requises</w:t>
      </w:r>
    </w:p>
    <w:p w14:paraId="7F33AE39" w14:textId="1124F53E" w:rsidR="00CE5C9D" w:rsidRDefault="00CE5C9D" w:rsidP="00CE5C9D">
      <w:pPr>
        <w:pStyle w:val="Corpsdetexte"/>
        <w:spacing w:before="140"/>
        <w:ind w:left="1036" w:right="1413"/>
        <w:jc w:val="both"/>
        <w:rPr>
          <w:color w:val="12404D"/>
        </w:rPr>
      </w:pPr>
      <w:r w:rsidRPr="00CE5C9D">
        <w:rPr>
          <w:color w:val="12404D"/>
        </w:rPr>
        <w:t>De formation Bac+5 ou équivalent, vous avez au moins</w:t>
      </w:r>
      <w:r w:rsidR="00335B82">
        <w:rPr>
          <w:color w:val="12404D"/>
        </w:rPr>
        <w:t xml:space="preserve"> </w:t>
      </w:r>
      <w:r w:rsidR="00E07C1A">
        <w:rPr>
          <w:color w:val="12404D"/>
        </w:rPr>
        <w:t>8</w:t>
      </w:r>
      <w:r w:rsidRPr="00CE5C9D">
        <w:rPr>
          <w:color w:val="12404D"/>
        </w:rPr>
        <w:t xml:space="preserve"> ans d’expériences dans le domaine IT.</w:t>
      </w:r>
    </w:p>
    <w:p w14:paraId="3426BE19" w14:textId="66F5FC1C" w:rsidR="000F4C45" w:rsidRPr="000F4C45" w:rsidRDefault="000F4C45" w:rsidP="000F4C45">
      <w:pPr>
        <w:pStyle w:val="Corpsdetexte"/>
        <w:spacing w:before="140"/>
        <w:ind w:left="1036" w:right="1413"/>
        <w:rPr>
          <w:color w:val="12404D"/>
        </w:rPr>
      </w:pPr>
      <w:bookmarkStart w:id="0" w:name="_Toc330798430"/>
      <w:r w:rsidRPr="000F4C45">
        <w:rPr>
          <w:color w:val="12404D"/>
        </w:rPr>
        <w:t>DevOps</w:t>
      </w:r>
      <w:r w:rsidR="00631CC2" w:rsidRPr="000F4C45">
        <w:rPr>
          <w:color w:val="12404D"/>
        </w:rPr>
        <w:t>/</w:t>
      </w:r>
      <w:r w:rsidR="00631CC2">
        <w:rPr>
          <w:color w:val="12404D"/>
        </w:rPr>
        <w:t>SRE</w:t>
      </w:r>
      <w:r w:rsidRPr="000F4C45">
        <w:rPr>
          <w:color w:val="12404D"/>
        </w:rPr>
        <w:t xml:space="preserve"> </w:t>
      </w:r>
      <w:r w:rsidR="007B06CD">
        <w:rPr>
          <w:color w:val="12404D"/>
        </w:rPr>
        <w:t>sénior</w:t>
      </w:r>
      <w:r w:rsidR="00335B82">
        <w:rPr>
          <w:color w:val="12404D"/>
        </w:rPr>
        <w:t xml:space="preserve">, qui maitrise l’installation et l’administration de </w:t>
      </w:r>
      <w:proofErr w:type="spellStart"/>
      <w:r w:rsidRPr="000F4C45">
        <w:rPr>
          <w:color w:val="12404D"/>
        </w:rPr>
        <w:t>Kubernetes</w:t>
      </w:r>
      <w:proofErr w:type="spellEnd"/>
      <w:r w:rsidRPr="000F4C45">
        <w:rPr>
          <w:color w:val="12404D"/>
        </w:rPr>
        <w:t xml:space="preserve">, </w:t>
      </w:r>
      <w:r w:rsidR="00335B82">
        <w:rPr>
          <w:color w:val="12404D"/>
        </w:rPr>
        <w:t xml:space="preserve">et </w:t>
      </w:r>
      <w:r w:rsidRPr="000F4C45">
        <w:rPr>
          <w:color w:val="12404D"/>
        </w:rPr>
        <w:t xml:space="preserve">orienté outillage commun d’exploitation (observabilité, CI/CD, </w:t>
      </w:r>
      <w:proofErr w:type="spellStart"/>
      <w:r w:rsidRPr="000F4C45">
        <w:rPr>
          <w:color w:val="12404D"/>
        </w:rPr>
        <w:t>GitOps</w:t>
      </w:r>
      <w:proofErr w:type="spellEnd"/>
      <w:r w:rsidRPr="000F4C45">
        <w:rPr>
          <w:color w:val="12404D"/>
        </w:rPr>
        <w:t>)</w:t>
      </w:r>
      <w:r w:rsidR="00335B82">
        <w:rPr>
          <w:color w:val="12404D"/>
        </w:rPr>
        <w:t>.</w:t>
      </w:r>
    </w:p>
    <w:bookmarkEnd w:id="0"/>
    <w:p w14:paraId="3D387FB9" w14:textId="2C65E1AB" w:rsidR="00335B82" w:rsidRPr="00335B82" w:rsidRDefault="00335B82" w:rsidP="00335B82">
      <w:pPr>
        <w:pStyle w:val="Paragraphedeliste"/>
        <w:numPr>
          <w:ilvl w:val="0"/>
          <w:numId w:val="2"/>
        </w:numPr>
        <w:tabs>
          <w:tab w:val="left" w:pos="1756"/>
          <w:tab w:val="left" w:pos="1757"/>
        </w:tabs>
        <w:spacing w:before="212" w:line="254" w:lineRule="auto"/>
        <w:ind w:right="1445"/>
        <w:rPr>
          <w:color w:val="12404D"/>
          <w:sz w:val="20"/>
        </w:rPr>
      </w:pPr>
      <w:r w:rsidRPr="00335B82">
        <w:rPr>
          <w:b/>
          <w:bCs/>
          <w:color w:val="12404D"/>
          <w:sz w:val="20"/>
        </w:rPr>
        <w:t>1 Connaissance de base</w:t>
      </w:r>
    </w:p>
    <w:p w14:paraId="3B88B8AB" w14:textId="0BE6516C" w:rsidR="00335B82" w:rsidRPr="00335B82" w:rsidRDefault="00335B82" w:rsidP="00335B82">
      <w:pPr>
        <w:pStyle w:val="Paragraphedeliste"/>
        <w:numPr>
          <w:ilvl w:val="0"/>
          <w:numId w:val="2"/>
        </w:numPr>
        <w:tabs>
          <w:tab w:val="left" w:pos="1756"/>
          <w:tab w:val="left" w:pos="1757"/>
        </w:tabs>
        <w:spacing w:before="212" w:line="254" w:lineRule="auto"/>
        <w:ind w:right="1445"/>
        <w:rPr>
          <w:color w:val="12404D"/>
          <w:sz w:val="20"/>
        </w:rPr>
      </w:pPr>
      <w:r w:rsidRPr="00335B82">
        <w:rPr>
          <w:b/>
          <w:bCs/>
          <w:color w:val="12404D"/>
          <w:sz w:val="20"/>
        </w:rPr>
        <w:t>Maîtrise opérationnelle</w:t>
      </w:r>
      <w:r w:rsidRPr="00335B82">
        <w:rPr>
          <w:color w:val="12404D"/>
          <w:sz w:val="20"/>
        </w:rPr>
        <w:t xml:space="preserve"> les connaissances ont été mises en œuvre au travers d'une pratique réelle. Les compétences ainsi acquises permettent d'agir avec autonomie dans des situations standards. </w:t>
      </w:r>
    </w:p>
    <w:p w14:paraId="07215782" w14:textId="6ADAF8BE" w:rsidR="00335B82" w:rsidRPr="00335B82" w:rsidRDefault="00335B82" w:rsidP="00335B82">
      <w:pPr>
        <w:pStyle w:val="Paragraphedeliste"/>
        <w:numPr>
          <w:ilvl w:val="0"/>
          <w:numId w:val="2"/>
        </w:numPr>
        <w:tabs>
          <w:tab w:val="left" w:pos="1756"/>
          <w:tab w:val="left" w:pos="1757"/>
        </w:tabs>
        <w:spacing w:before="212" w:line="254" w:lineRule="auto"/>
        <w:ind w:right="1445"/>
        <w:rPr>
          <w:color w:val="12404D"/>
          <w:sz w:val="20"/>
        </w:rPr>
      </w:pPr>
      <w:r w:rsidRPr="00335B82">
        <w:rPr>
          <w:b/>
          <w:bCs/>
          <w:color w:val="12404D"/>
          <w:sz w:val="20"/>
        </w:rPr>
        <w:t>3 Maîtrise avancée</w:t>
      </w:r>
      <w:r w:rsidRPr="00335B82">
        <w:rPr>
          <w:color w:val="12404D"/>
          <w:sz w:val="20"/>
        </w:rPr>
        <w:t xml:space="preserve"> : les connaissances ont été mises en œuvre dans des contextes diversifiés. Le niveau de maîtrise atteint permet d'être autonome et performant dans la plupart des cas et dans des environnements différents. </w:t>
      </w:r>
    </w:p>
    <w:p w14:paraId="2526D279" w14:textId="2A64AEA1" w:rsidR="00335B82" w:rsidRPr="000F4C45" w:rsidRDefault="00335B82" w:rsidP="00335B82">
      <w:pPr>
        <w:pStyle w:val="Paragraphedeliste"/>
        <w:numPr>
          <w:ilvl w:val="0"/>
          <w:numId w:val="2"/>
        </w:numPr>
        <w:tabs>
          <w:tab w:val="left" w:pos="1756"/>
          <w:tab w:val="left" w:pos="1757"/>
        </w:tabs>
        <w:spacing w:before="212" w:line="254" w:lineRule="auto"/>
        <w:ind w:right="1445"/>
        <w:rPr>
          <w:color w:val="12404D"/>
          <w:sz w:val="20"/>
        </w:rPr>
      </w:pPr>
      <w:r w:rsidRPr="00335B82">
        <w:rPr>
          <w:b/>
          <w:bCs/>
          <w:color w:val="12404D"/>
          <w:sz w:val="20"/>
        </w:rPr>
        <w:t>4 Expertise</w:t>
      </w:r>
      <w:r w:rsidRPr="00335B82">
        <w:rPr>
          <w:color w:val="12404D"/>
          <w:sz w:val="20"/>
        </w:rPr>
        <w:t xml:space="preserve"> : les compétences développées au travers de contextes variés et complexes permettent une maîtrise totale. La personne fait référence dans le domaine</w:t>
      </w:r>
      <w:r w:rsidRPr="000F4C45">
        <w:rPr>
          <w:color w:val="12404D"/>
          <w:sz w:val="20"/>
        </w:rPr>
        <w:t>.</w:t>
      </w:r>
    </w:p>
    <w:p w14:paraId="5CC2198B" w14:textId="77777777" w:rsidR="000F4C45" w:rsidRDefault="000F4C45" w:rsidP="00CE5C9D">
      <w:pPr>
        <w:pStyle w:val="Corpsdetexte"/>
        <w:spacing w:before="140"/>
        <w:ind w:left="1036" w:right="1413"/>
        <w:jc w:val="both"/>
        <w:rPr>
          <w:color w:val="12404D"/>
        </w:rPr>
      </w:pPr>
    </w:p>
    <w:tbl>
      <w:tblPr>
        <w:tblW w:w="3940" w:type="pct"/>
        <w:tblInd w:w="983" w:type="dxa"/>
        <w:tblBorders>
          <w:top w:val="single" w:sz="8" w:space="0" w:color="1F497D" w:themeColor="text2"/>
          <w:left w:val="single" w:sz="8" w:space="0" w:color="1F497D" w:themeColor="text2"/>
          <w:bottom w:val="single" w:sz="8" w:space="0" w:color="1F497D" w:themeColor="text2"/>
          <w:right w:val="single" w:sz="8" w:space="0" w:color="1F497D" w:themeColor="text2"/>
          <w:insideH w:val="single" w:sz="8" w:space="0" w:color="1F497D" w:themeColor="text2"/>
          <w:insideV w:val="single" w:sz="8" w:space="0" w:color="1F497D" w:themeColor="text2"/>
        </w:tblBorders>
        <w:tblLayout w:type="fixed"/>
        <w:tblLook w:val="0020" w:firstRow="1" w:lastRow="0" w:firstColumn="0" w:lastColumn="0" w:noHBand="0" w:noVBand="0"/>
      </w:tblPr>
      <w:tblGrid>
        <w:gridCol w:w="1701"/>
        <w:gridCol w:w="1134"/>
        <w:gridCol w:w="6235"/>
      </w:tblGrid>
      <w:tr w:rsidR="00335B82" w:rsidRPr="00D83A9F" w14:paraId="2A96240F" w14:textId="77777777" w:rsidTr="00335B82">
        <w:tc>
          <w:tcPr>
            <w:tcW w:w="938" w:type="pct"/>
            <w:shd w:val="clear" w:color="auto" w:fill="1F497D" w:themeFill="text2"/>
          </w:tcPr>
          <w:p w14:paraId="3A1CE854" w14:textId="77777777" w:rsidR="00335B82" w:rsidRPr="00D83A9F" w:rsidRDefault="00335B82" w:rsidP="00444ACE">
            <w:pPr>
              <w:spacing w:before="120" w:after="120"/>
              <w:jc w:val="center"/>
              <w:rPr>
                <w:rFonts w:ascii="Helvetica 45 Light" w:hAnsi="Helvetica 45 Light"/>
                <w:bCs/>
                <w:color w:val="FFFFFF"/>
              </w:rPr>
            </w:pPr>
            <w:r>
              <w:rPr>
                <w:rFonts w:ascii="Helvetica 45 Light" w:hAnsi="Helvetica 45 Light"/>
                <w:b/>
                <w:bCs/>
                <w:color w:val="FFFFFF"/>
              </w:rPr>
              <w:t>Compétences</w:t>
            </w:r>
          </w:p>
        </w:tc>
        <w:tc>
          <w:tcPr>
            <w:tcW w:w="625" w:type="pct"/>
            <w:shd w:val="clear" w:color="auto" w:fill="1F497D" w:themeFill="text2"/>
          </w:tcPr>
          <w:p w14:paraId="0209B67C" w14:textId="77777777" w:rsidR="00335B82" w:rsidRPr="00D83A9F" w:rsidRDefault="00335B82" w:rsidP="00444ACE">
            <w:pPr>
              <w:spacing w:before="120" w:after="120"/>
              <w:jc w:val="center"/>
              <w:rPr>
                <w:rFonts w:ascii="Helvetica 45 Light" w:hAnsi="Helvetica 45 Light"/>
                <w:bCs/>
                <w:color w:val="FFFFFF"/>
              </w:rPr>
            </w:pPr>
            <w:r>
              <w:rPr>
                <w:rFonts w:ascii="Helvetica 45 Light" w:hAnsi="Helvetica 45 Light"/>
                <w:b/>
                <w:bCs/>
                <w:color w:val="FFFFFF"/>
              </w:rPr>
              <w:t>Niveau attendu</w:t>
            </w:r>
          </w:p>
        </w:tc>
        <w:tc>
          <w:tcPr>
            <w:tcW w:w="3437" w:type="pct"/>
            <w:shd w:val="clear" w:color="auto" w:fill="1F497D" w:themeFill="text2"/>
          </w:tcPr>
          <w:p w14:paraId="49AA6FF7" w14:textId="77777777" w:rsidR="00335B82" w:rsidRPr="00D83A9F" w:rsidRDefault="00335B82" w:rsidP="00444ACE">
            <w:pPr>
              <w:spacing w:before="120" w:after="120"/>
              <w:jc w:val="center"/>
              <w:rPr>
                <w:rFonts w:ascii="Helvetica 45 Light" w:hAnsi="Helvetica 45 Light"/>
                <w:bCs/>
                <w:color w:val="FFFFFF"/>
              </w:rPr>
            </w:pPr>
            <w:r>
              <w:rPr>
                <w:rFonts w:ascii="Helvetica 45 Light" w:hAnsi="Helvetica 45 Light"/>
                <w:b/>
                <w:bCs/>
                <w:color w:val="FFFFFF"/>
              </w:rPr>
              <w:t>Description</w:t>
            </w:r>
          </w:p>
        </w:tc>
      </w:tr>
      <w:tr w:rsidR="00335B82" w:rsidRPr="00D83A9F" w14:paraId="637AC526" w14:textId="77777777" w:rsidTr="00335B82">
        <w:trPr>
          <w:trHeight w:val="480"/>
        </w:trPr>
        <w:tc>
          <w:tcPr>
            <w:tcW w:w="938" w:type="pct"/>
          </w:tcPr>
          <w:p w14:paraId="5CF22F4F" w14:textId="77777777" w:rsidR="00335B82" w:rsidRPr="00F81545" w:rsidRDefault="00335B82" w:rsidP="00444ACE">
            <w:pPr>
              <w:rPr>
                <w:rFonts w:ascii="Helvetica 45 Light" w:hAnsi="Helvetica 45 Light"/>
                <w:szCs w:val="20"/>
              </w:rPr>
            </w:pPr>
            <w:r>
              <w:rPr>
                <w:rFonts w:ascii="Helvetica 45 Light" w:hAnsi="Helvetica 45 Light"/>
                <w:szCs w:val="20"/>
              </w:rPr>
              <w:t>Compétences personnelles</w:t>
            </w:r>
          </w:p>
        </w:tc>
        <w:tc>
          <w:tcPr>
            <w:tcW w:w="625" w:type="pct"/>
          </w:tcPr>
          <w:p w14:paraId="520DDE10" w14:textId="77777777" w:rsidR="00335B82" w:rsidRPr="00631CC2" w:rsidRDefault="00335B82" w:rsidP="00444ACE">
            <w:pPr>
              <w:jc w:val="center"/>
              <w:rPr>
                <w:rFonts w:ascii="Helvetica 45 Light" w:hAnsi="Helvetica 45 Light"/>
                <w:b/>
                <w:bCs/>
                <w:szCs w:val="20"/>
                <w:highlight w:val="yellow"/>
              </w:rPr>
            </w:pPr>
            <w:r w:rsidRPr="00631CC2">
              <w:rPr>
                <w:rFonts w:ascii="Helvetica 45 Light" w:hAnsi="Helvetica 45 Light"/>
                <w:b/>
                <w:bCs/>
                <w:szCs w:val="20"/>
              </w:rPr>
              <w:t>4</w:t>
            </w:r>
          </w:p>
        </w:tc>
        <w:tc>
          <w:tcPr>
            <w:tcW w:w="3437" w:type="pct"/>
          </w:tcPr>
          <w:p w14:paraId="790CE905" w14:textId="77777777" w:rsidR="00335B82" w:rsidRPr="00631CC2" w:rsidRDefault="00335B82" w:rsidP="00335B82">
            <w:pPr>
              <w:widowControl/>
              <w:numPr>
                <w:ilvl w:val="0"/>
                <w:numId w:val="11"/>
              </w:numPr>
              <w:tabs>
                <w:tab w:val="left" w:pos="327"/>
                <w:tab w:val="left" w:pos="4561"/>
              </w:tabs>
              <w:adjustRightInd w:val="0"/>
              <w:spacing w:before="60" w:afterLines="60" w:after="144"/>
              <w:rPr>
                <w:rFonts w:ascii="Helvetica 45 Light" w:hAnsi="Helvetica 45 Light" w:cs="Calibri"/>
                <w:szCs w:val="20"/>
              </w:rPr>
            </w:pPr>
            <w:r w:rsidRPr="00631CC2">
              <w:rPr>
                <w:rFonts w:ascii="Helvetica 45 Light" w:hAnsi="Helvetica 45 Light" w:cs="Calibri"/>
                <w:szCs w:val="20"/>
              </w:rPr>
              <w:t xml:space="preserve">Autonomie, sens du service et du collectif, capacité à outiller et accompagner de multiples Product </w:t>
            </w:r>
            <w:proofErr w:type="spellStart"/>
            <w:r w:rsidRPr="00631CC2">
              <w:rPr>
                <w:rFonts w:ascii="Helvetica 45 Light" w:hAnsi="Helvetica 45 Light" w:cs="Calibri"/>
                <w:szCs w:val="20"/>
              </w:rPr>
              <w:t>Units</w:t>
            </w:r>
            <w:proofErr w:type="spellEnd"/>
            <w:r w:rsidRPr="00631CC2">
              <w:rPr>
                <w:rFonts w:ascii="Helvetica 45 Light" w:hAnsi="Helvetica 45 Light" w:cs="Calibri"/>
                <w:szCs w:val="20"/>
              </w:rPr>
              <w:t>.</w:t>
            </w:r>
          </w:p>
          <w:p w14:paraId="7F546384" w14:textId="77777777" w:rsidR="00335B82" w:rsidRPr="00631CC2" w:rsidRDefault="00335B82" w:rsidP="00444ACE">
            <w:pPr>
              <w:pStyle w:val="Listepuces"/>
              <w:numPr>
                <w:ilvl w:val="0"/>
                <w:numId w:val="0"/>
              </w:numPr>
              <w:tabs>
                <w:tab w:val="left" w:pos="327"/>
                <w:tab w:val="left" w:pos="4561"/>
              </w:tabs>
              <w:spacing w:before="60" w:afterLines="60" w:after="144"/>
              <w:contextualSpacing/>
              <w:jc w:val="left"/>
              <w:rPr>
                <w:rFonts w:ascii="Helvetica 45 Light" w:hAnsi="Helvetica 45 Light"/>
                <w:sz w:val="20"/>
              </w:rPr>
            </w:pPr>
          </w:p>
        </w:tc>
      </w:tr>
      <w:tr w:rsidR="00335B82" w:rsidRPr="00D83A9F" w14:paraId="0908D3E5" w14:textId="77777777" w:rsidTr="00335B82">
        <w:trPr>
          <w:trHeight w:val="480"/>
        </w:trPr>
        <w:tc>
          <w:tcPr>
            <w:tcW w:w="938" w:type="pct"/>
          </w:tcPr>
          <w:p w14:paraId="77EA28EE" w14:textId="77777777" w:rsidR="00335B82" w:rsidRPr="00F81545" w:rsidRDefault="00335B82" w:rsidP="00444ACE">
            <w:pPr>
              <w:rPr>
                <w:rFonts w:ascii="Helvetica 45 Light" w:hAnsi="Helvetica 45 Light"/>
                <w:szCs w:val="20"/>
              </w:rPr>
            </w:pPr>
            <w:r>
              <w:rPr>
                <w:rFonts w:ascii="Helvetica 45 Light" w:hAnsi="Helvetica 45 Light"/>
                <w:szCs w:val="20"/>
              </w:rPr>
              <w:t>Compétences techniques</w:t>
            </w:r>
          </w:p>
        </w:tc>
        <w:tc>
          <w:tcPr>
            <w:tcW w:w="625" w:type="pct"/>
          </w:tcPr>
          <w:p w14:paraId="6D312267" w14:textId="77777777" w:rsidR="00335B82" w:rsidRPr="00034DDD" w:rsidRDefault="00335B82" w:rsidP="00444ACE">
            <w:pPr>
              <w:jc w:val="center"/>
              <w:rPr>
                <w:rFonts w:ascii="Helvetica 45 Light" w:hAnsi="Helvetica 45 Light"/>
                <w:szCs w:val="20"/>
                <w:highlight w:val="yellow"/>
              </w:rPr>
            </w:pPr>
            <w:r w:rsidRPr="00631CC2">
              <w:rPr>
                <w:rFonts w:ascii="Helvetica 45 Light" w:hAnsi="Helvetica 45 Light"/>
                <w:b/>
                <w:bCs/>
                <w:szCs w:val="20"/>
              </w:rPr>
              <w:t>3 à 4</w:t>
            </w:r>
          </w:p>
        </w:tc>
        <w:tc>
          <w:tcPr>
            <w:tcW w:w="3437" w:type="pct"/>
          </w:tcPr>
          <w:p w14:paraId="1101B1A5" w14:textId="77777777" w:rsidR="00335B82" w:rsidRPr="00631CC2" w:rsidRDefault="00335B82" w:rsidP="00335B82">
            <w:pPr>
              <w:pStyle w:val="Listepuces"/>
              <w:numPr>
                <w:ilvl w:val="0"/>
                <w:numId w:val="10"/>
              </w:numPr>
              <w:tabs>
                <w:tab w:val="left" w:pos="327"/>
                <w:tab w:val="left" w:pos="4561"/>
              </w:tabs>
              <w:spacing w:before="60" w:afterLines="60" w:after="144"/>
              <w:rPr>
                <w:rFonts w:ascii="Helvetica 45 Light" w:hAnsi="Helvetica 45 Light"/>
                <w:sz w:val="20"/>
              </w:rPr>
            </w:pPr>
            <w:proofErr w:type="spellStart"/>
            <w:r w:rsidRPr="00631CC2">
              <w:rPr>
                <w:rFonts w:ascii="Helvetica 45 Light" w:hAnsi="Helvetica 45 Light"/>
                <w:sz w:val="20"/>
              </w:rPr>
              <w:t>Kubernetes</w:t>
            </w:r>
            <w:proofErr w:type="spellEnd"/>
            <w:r w:rsidRPr="00631CC2">
              <w:rPr>
                <w:rFonts w:ascii="Helvetica 45 Light" w:hAnsi="Helvetica 45 Light"/>
                <w:sz w:val="20"/>
              </w:rPr>
              <w:t xml:space="preserve"> en profondeur, opérateurs/contrôleurs, </w:t>
            </w:r>
            <w:proofErr w:type="spellStart"/>
            <w:r w:rsidRPr="00631CC2">
              <w:rPr>
                <w:rFonts w:ascii="Helvetica 45 Light" w:hAnsi="Helvetica 45 Light"/>
                <w:sz w:val="20"/>
              </w:rPr>
              <w:t>IaC</w:t>
            </w:r>
            <w:proofErr w:type="spellEnd"/>
            <w:r w:rsidRPr="00631CC2">
              <w:rPr>
                <w:rFonts w:ascii="Helvetica 45 Light" w:hAnsi="Helvetica 45 Light"/>
                <w:sz w:val="20"/>
              </w:rPr>
              <w:t xml:space="preserve"> (</w:t>
            </w:r>
            <w:proofErr w:type="spellStart"/>
            <w:r w:rsidRPr="00631CC2">
              <w:rPr>
                <w:rFonts w:ascii="Helvetica 45 Light" w:hAnsi="Helvetica 45 Light"/>
                <w:sz w:val="20"/>
              </w:rPr>
              <w:t>Terraform</w:t>
            </w:r>
            <w:proofErr w:type="spellEnd"/>
            <w:r w:rsidRPr="00631CC2">
              <w:rPr>
                <w:rFonts w:ascii="Helvetica 45 Light" w:hAnsi="Helvetica 45 Light"/>
                <w:sz w:val="20"/>
              </w:rPr>
              <w:t>/</w:t>
            </w:r>
            <w:proofErr w:type="spellStart"/>
            <w:r w:rsidRPr="00631CC2">
              <w:rPr>
                <w:rFonts w:ascii="Helvetica 45 Light" w:hAnsi="Helvetica 45 Light"/>
                <w:sz w:val="20"/>
              </w:rPr>
              <w:t>OpenTofu</w:t>
            </w:r>
            <w:proofErr w:type="spellEnd"/>
            <w:r w:rsidRPr="00631CC2">
              <w:rPr>
                <w:rFonts w:ascii="Helvetica 45 Light" w:hAnsi="Helvetica 45 Light"/>
                <w:sz w:val="20"/>
              </w:rPr>
              <w:t xml:space="preserve">, Ansible), </w:t>
            </w:r>
            <w:proofErr w:type="spellStart"/>
            <w:r w:rsidRPr="00631CC2">
              <w:rPr>
                <w:rFonts w:ascii="Helvetica 45 Light" w:hAnsi="Helvetica 45 Light"/>
                <w:sz w:val="20"/>
              </w:rPr>
              <w:t>GitOps</w:t>
            </w:r>
            <w:proofErr w:type="spellEnd"/>
            <w:r w:rsidRPr="00631CC2">
              <w:rPr>
                <w:rFonts w:ascii="Helvetica 45 Light" w:hAnsi="Helvetica 45 Light"/>
                <w:sz w:val="20"/>
              </w:rPr>
              <w:t xml:space="preserve"> (Helm, </w:t>
            </w:r>
            <w:proofErr w:type="spellStart"/>
            <w:r w:rsidRPr="00631CC2">
              <w:rPr>
                <w:rFonts w:ascii="Helvetica 45 Light" w:hAnsi="Helvetica 45 Light"/>
                <w:sz w:val="20"/>
              </w:rPr>
              <w:t>ArgoCD</w:t>
            </w:r>
            <w:proofErr w:type="spellEnd"/>
            <w:r w:rsidRPr="00631CC2">
              <w:rPr>
                <w:rFonts w:ascii="Helvetica 45 Light" w:hAnsi="Helvetica 45 Light"/>
                <w:sz w:val="20"/>
              </w:rPr>
              <w:t>/Flux), CI/CD, conteneurs ; codage assisté par IA.</w:t>
            </w:r>
          </w:p>
        </w:tc>
      </w:tr>
      <w:tr w:rsidR="00335B82" w:rsidRPr="00D83A9F" w14:paraId="5BF39683" w14:textId="77777777" w:rsidTr="00335B82">
        <w:trPr>
          <w:trHeight w:val="480"/>
        </w:trPr>
        <w:tc>
          <w:tcPr>
            <w:tcW w:w="938" w:type="pct"/>
          </w:tcPr>
          <w:p w14:paraId="32B5C093" w14:textId="77777777" w:rsidR="00335B82" w:rsidRDefault="00335B82" w:rsidP="00444ACE">
            <w:pPr>
              <w:rPr>
                <w:rFonts w:ascii="Helvetica 45 Light" w:hAnsi="Helvetica 45 Light"/>
                <w:szCs w:val="20"/>
              </w:rPr>
            </w:pPr>
            <w:r>
              <w:rPr>
                <w:rFonts w:ascii="Helvetica 45 Light" w:hAnsi="Helvetica 45 Light"/>
                <w:szCs w:val="20"/>
              </w:rPr>
              <w:t>Compétences spécifiques</w:t>
            </w:r>
          </w:p>
        </w:tc>
        <w:tc>
          <w:tcPr>
            <w:tcW w:w="625" w:type="pct"/>
          </w:tcPr>
          <w:p w14:paraId="01A98CB7" w14:textId="77777777" w:rsidR="00335B82" w:rsidRPr="00034DDD" w:rsidRDefault="00335B82" w:rsidP="00444ACE">
            <w:pPr>
              <w:jc w:val="center"/>
              <w:rPr>
                <w:rFonts w:ascii="Helvetica 45 Light" w:hAnsi="Helvetica 45 Light"/>
                <w:szCs w:val="20"/>
                <w:highlight w:val="yellow"/>
              </w:rPr>
            </w:pPr>
            <w:r w:rsidRPr="00631CC2">
              <w:rPr>
                <w:rFonts w:ascii="Helvetica 45 Light" w:hAnsi="Helvetica 45 Light"/>
                <w:b/>
                <w:bCs/>
                <w:szCs w:val="20"/>
              </w:rPr>
              <w:t>4</w:t>
            </w:r>
          </w:p>
        </w:tc>
        <w:tc>
          <w:tcPr>
            <w:tcW w:w="3437" w:type="pct"/>
          </w:tcPr>
          <w:p w14:paraId="6087FCA1" w14:textId="77777777" w:rsidR="00335B82" w:rsidRPr="00631CC2" w:rsidRDefault="00335B82" w:rsidP="00335B82">
            <w:pPr>
              <w:widowControl/>
              <w:numPr>
                <w:ilvl w:val="0"/>
                <w:numId w:val="10"/>
              </w:numPr>
              <w:autoSpaceDE/>
              <w:autoSpaceDN/>
              <w:spacing w:before="60" w:afterLines="60" w:after="144"/>
              <w:rPr>
                <w:rFonts w:ascii="Helvetica 45 Light" w:hAnsi="Helvetica 45 Light" w:cs="Calibri"/>
                <w:szCs w:val="20"/>
              </w:rPr>
            </w:pPr>
            <w:r w:rsidRPr="00631CC2">
              <w:rPr>
                <w:rFonts w:ascii="Helvetica 45 Light" w:hAnsi="Helvetica 45 Light" w:cs="Calibri"/>
                <w:szCs w:val="20"/>
              </w:rPr>
              <w:t xml:space="preserve">Approche SRE complète (SLO, observabilité, incidents) et maîtrise des outils transverses d’exploitation (observabilité, supervision, </w:t>
            </w:r>
            <w:proofErr w:type="spellStart"/>
            <w:r w:rsidRPr="00631CC2">
              <w:rPr>
                <w:rFonts w:ascii="Helvetica 45 Light" w:hAnsi="Helvetica 45 Light" w:cs="Calibri"/>
                <w:szCs w:val="20"/>
              </w:rPr>
              <w:t>alerting</w:t>
            </w:r>
            <w:proofErr w:type="spellEnd"/>
            <w:r w:rsidRPr="00631CC2">
              <w:rPr>
                <w:rFonts w:ascii="Helvetica 45 Light" w:hAnsi="Helvetica 45 Light" w:cs="Calibri"/>
                <w:szCs w:val="20"/>
              </w:rPr>
              <w:t>, gestion de configuration).</w:t>
            </w:r>
          </w:p>
        </w:tc>
      </w:tr>
      <w:tr w:rsidR="00335B82" w:rsidRPr="00D83A9F" w14:paraId="12026C01" w14:textId="77777777" w:rsidTr="00335B82">
        <w:trPr>
          <w:trHeight w:val="480"/>
        </w:trPr>
        <w:tc>
          <w:tcPr>
            <w:tcW w:w="938" w:type="pct"/>
          </w:tcPr>
          <w:p w14:paraId="2AE205B8" w14:textId="77777777" w:rsidR="00335B82" w:rsidRPr="00F81545" w:rsidRDefault="00335B82" w:rsidP="00444ACE">
            <w:pPr>
              <w:rPr>
                <w:rFonts w:ascii="Helvetica 45 Light" w:hAnsi="Helvetica 45 Light"/>
                <w:szCs w:val="20"/>
              </w:rPr>
            </w:pPr>
            <w:r>
              <w:rPr>
                <w:rFonts w:ascii="Helvetica 45 Light" w:hAnsi="Helvetica 45 Light"/>
                <w:szCs w:val="20"/>
              </w:rPr>
              <w:t>Réseau</w:t>
            </w:r>
          </w:p>
        </w:tc>
        <w:tc>
          <w:tcPr>
            <w:tcW w:w="625" w:type="pct"/>
          </w:tcPr>
          <w:p w14:paraId="3C022D6D" w14:textId="77777777" w:rsidR="00335B82" w:rsidRPr="00034DDD" w:rsidRDefault="00335B82" w:rsidP="00444ACE">
            <w:pPr>
              <w:jc w:val="center"/>
              <w:rPr>
                <w:rFonts w:ascii="Helvetica 45 Light" w:hAnsi="Helvetica 45 Light"/>
                <w:szCs w:val="20"/>
                <w:highlight w:val="yellow"/>
              </w:rPr>
            </w:pPr>
            <w:r w:rsidRPr="00631CC2">
              <w:rPr>
                <w:rFonts w:ascii="Helvetica 45 Light" w:hAnsi="Helvetica 45 Light"/>
                <w:b/>
                <w:bCs/>
                <w:szCs w:val="20"/>
              </w:rPr>
              <w:t>3 à 4</w:t>
            </w:r>
          </w:p>
        </w:tc>
        <w:tc>
          <w:tcPr>
            <w:tcW w:w="3437" w:type="pct"/>
          </w:tcPr>
          <w:p w14:paraId="3A95704F" w14:textId="77777777" w:rsidR="00335B82" w:rsidRPr="00631CC2" w:rsidRDefault="00335B82" w:rsidP="00335B82">
            <w:pPr>
              <w:widowControl/>
              <w:numPr>
                <w:ilvl w:val="0"/>
                <w:numId w:val="10"/>
              </w:numPr>
              <w:autoSpaceDE/>
              <w:autoSpaceDN/>
              <w:spacing w:before="60" w:afterLines="60" w:after="144"/>
              <w:rPr>
                <w:rFonts w:ascii="Helvetica 45 Light" w:hAnsi="Helvetica 45 Light" w:cs="Calibri"/>
                <w:szCs w:val="20"/>
              </w:rPr>
            </w:pPr>
            <w:r w:rsidRPr="00631CC2">
              <w:rPr>
                <w:rFonts w:ascii="Helvetica 45 Light" w:hAnsi="Helvetica 45 Light" w:cs="Calibri"/>
                <w:szCs w:val="20"/>
              </w:rPr>
              <w:t xml:space="preserve">Compréhension du réseau </w:t>
            </w:r>
            <w:proofErr w:type="spellStart"/>
            <w:r w:rsidRPr="00631CC2">
              <w:rPr>
                <w:rFonts w:ascii="Helvetica 45 Light" w:hAnsi="Helvetica 45 Light" w:cs="Calibri"/>
                <w:szCs w:val="20"/>
              </w:rPr>
              <w:t>Kubernetes</w:t>
            </w:r>
            <w:proofErr w:type="spellEnd"/>
            <w:r w:rsidRPr="00631CC2">
              <w:rPr>
                <w:rFonts w:ascii="Helvetica 45 Light" w:hAnsi="Helvetica 45 Light" w:cs="Calibri"/>
                <w:szCs w:val="20"/>
              </w:rPr>
              <w:t xml:space="preserve"> (CNI) et des flux d’intégration inter-PU des outils communs.</w:t>
            </w:r>
            <w:r w:rsidRPr="00631CC2">
              <w:rPr>
                <w:rFonts w:ascii="Helvetica 45 Light" w:hAnsi="Helvetica 45 Light" w:cs="Calibri"/>
              </w:rPr>
              <w:t xml:space="preserve"> </w:t>
            </w:r>
          </w:p>
        </w:tc>
      </w:tr>
      <w:tr w:rsidR="00335B82" w:rsidRPr="00D83A9F" w14:paraId="38D121BF" w14:textId="77777777" w:rsidTr="00335B82">
        <w:trPr>
          <w:trHeight w:val="480"/>
        </w:trPr>
        <w:tc>
          <w:tcPr>
            <w:tcW w:w="938" w:type="pct"/>
          </w:tcPr>
          <w:p w14:paraId="01F62C06" w14:textId="77777777" w:rsidR="00335B82" w:rsidRPr="00F81545" w:rsidRDefault="00335B82" w:rsidP="00444ACE">
            <w:pPr>
              <w:rPr>
                <w:rFonts w:ascii="Helvetica 45 Light" w:hAnsi="Helvetica 45 Light"/>
                <w:szCs w:val="20"/>
              </w:rPr>
            </w:pPr>
            <w:r>
              <w:rPr>
                <w:rFonts w:ascii="Helvetica 45 Light" w:hAnsi="Helvetica 45 Light"/>
                <w:szCs w:val="20"/>
              </w:rPr>
              <w:t>Langue de travail</w:t>
            </w:r>
          </w:p>
        </w:tc>
        <w:tc>
          <w:tcPr>
            <w:tcW w:w="625" w:type="pct"/>
          </w:tcPr>
          <w:p w14:paraId="5C03847F" w14:textId="77777777" w:rsidR="00335B82" w:rsidRPr="00034DDD" w:rsidRDefault="00335B82" w:rsidP="00444ACE">
            <w:pPr>
              <w:jc w:val="center"/>
              <w:rPr>
                <w:rFonts w:ascii="Helvetica 45 Light" w:hAnsi="Helvetica 45 Light"/>
                <w:szCs w:val="20"/>
                <w:highlight w:val="yellow"/>
              </w:rPr>
            </w:pPr>
            <w:r w:rsidRPr="00631CC2">
              <w:rPr>
                <w:rFonts w:ascii="Helvetica 45 Light" w:hAnsi="Helvetica 45 Light"/>
                <w:b/>
                <w:bCs/>
                <w:szCs w:val="20"/>
              </w:rPr>
              <w:t>3</w:t>
            </w:r>
          </w:p>
        </w:tc>
        <w:tc>
          <w:tcPr>
            <w:tcW w:w="3437" w:type="pct"/>
          </w:tcPr>
          <w:p w14:paraId="0DFEDD53" w14:textId="77777777" w:rsidR="00335B82" w:rsidRPr="00F81545" w:rsidRDefault="00335B82" w:rsidP="00335B82">
            <w:pPr>
              <w:widowControl/>
              <w:numPr>
                <w:ilvl w:val="0"/>
                <w:numId w:val="9"/>
              </w:numPr>
              <w:autoSpaceDE/>
              <w:autoSpaceDN/>
              <w:spacing w:before="60" w:afterLines="60" w:after="144"/>
              <w:rPr>
                <w:rFonts w:ascii="Helvetica 45 Light" w:hAnsi="Helvetica 45 Light"/>
                <w:szCs w:val="20"/>
              </w:rPr>
            </w:pPr>
            <w:r>
              <w:rPr>
                <w:rFonts w:ascii="Helvetica 45 Light" w:hAnsi="Helvetica 45 Light"/>
                <w:szCs w:val="20"/>
              </w:rPr>
              <w:t>Français : lu, écrit, parlé</w:t>
            </w:r>
          </w:p>
          <w:p w14:paraId="057D73D3" w14:textId="77777777" w:rsidR="00335B82" w:rsidRPr="00430F65" w:rsidRDefault="00335B82" w:rsidP="00335B82">
            <w:pPr>
              <w:widowControl/>
              <w:numPr>
                <w:ilvl w:val="0"/>
                <w:numId w:val="10"/>
              </w:numPr>
              <w:autoSpaceDE/>
              <w:autoSpaceDN/>
              <w:spacing w:before="60" w:afterLines="60" w:after="144"/>
              <w:rPr>
                <w:rFonts w:ascii="Helvetica 45 Light" w:hAnsi="Helvetica 45 Light" w:cs="Calibri"/>
                <w:color w:val="000000"/>
              </w:rPr>
            </w:pPr>
            <w:r>
              <w:rPr>
                <w:rFonts w:ascii="Helvetica 45 Light" w:hAnsi="Helvetica 45 Light"/>
                <w:szCs w:val="20"/>
              </w:rPr>
              <w:t>Anglais : courant</w:t>
            </w:r>
          </w:p>
        </w:tc>
      </w:tr>
    </w:tbl>
    <w:p w14:paraId="3F174274" w14:textId="3CD298FE" w:rsidR="0037432A" w:rsidRPr="00631CC2" w:rsidRDefault="0037432A" w:rsidP="00631CC2">
      <w:pPr>
        <w:tabs>
          <w:tab w:val="left" w:pos="1756"/>
          <w:tab w:val="left" w:pos="1757"/>
        </w:tabs>
        <w:spacing w:before="212" w:line="254" w:lineRule="auto"/>
        <w:ind w:right="1445"/>
        <w:rPr>
          <w:color w:val="12404D"/>
          <w:sz w:val="20"/>
        </w:rPr>
      </w:pPr>
    </w:p>
    <w:sectPr w:rsidR="0037432A" w:rsidRPr="00631CC2" w:rsidSect="00335B82">
      <w:footerReference w:type="even" r:id="rId9"/>
      <w:footerReference w:type="default" r:id="rId10"/>
      <w:footerReference w:type="first" r:id="rId11"/>
      <w:pgSz w:w="11910" w:h="16840"/>
      <w:pgMar w:top="0" w:right="0" w:bottom="0" w:left="3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DEBC5" w14:textId="77777777" w:rsidR="00AF13FF" w:rsidRDefault="00AF13FF" w:rsidP="00810D8B">
      <w:r>
        <w:separator/>
      </w:r>
    </w:p>
  </w:endnote>
  <w:endnote w:type="continuationSeparator" w:id="0">
    <w:p w14:paraId="011EE48D" w14:textId="77777777" w:rsidR="00AF13FF" w:rsidRDefault="00AF13FF" w:rsidP="00810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45 Light">
    <w:altName w:val="Arial"/>
    <w:charset w:val="00"/>
    <w:family w:val="swiss"/>
    <w:pitch w:val="variable"/>
    <w:sig w:usb0="A00002AF" w:usb1="5000205B"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A5F58" w14:textId="26BC711D" w:rsidR="00810D8B" w:rsidRDefault="00810D8B">
    <w:pPr>
      <w:pStyle w:val="Pieddepage"/>
    </w:pPr>
    <w:r>
      <w:rPr>
        <w:noProof/>
      </w:rPr>
      <mc:AlternateContent>
        <mc:Choice Requires="wps">
          <w:drawing>
            <wp:anchor distT="0" distB="0" distL="0" distR="0" simplePos="0" relativeHeight="251659264" behindDoc="0" locked="0" layoutInCell="1" allowOverlap="1" wp14:anchorId="264C3C87" wp14:editId="579E933B">
              <wp:simplePos x="635" y="635"/>
              <wp:positionH relativeFrom="page">
                <wp:align>center</wp:align>
              </wp:positionH>
              <wp:positionV relativeFrom="page">
                <wp:align>bottom</wp:align>
              </wp:positionV>
              <wp:extent cx="443865" cy="443865"/>
              <wp:effectExtent l="0" t="0" r="13335" b="0"/>
              <wp:wrapNone/>
              <wp:docPr id="677677479"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5F990C5" w14:textId="3233B434" w:rsidR="00810D8B" w:rsidRPr="00810D8B" w:rsidRDefault="00810D8B" w:rsidP="00810D8B">
                          <w:pPr>
                            <w:rPr>
                              <w:rFonts w:ascii="Helvetica 75 Bold" w:eastAsia="Helvetica 75 Bold" w:hAnsi="Helvetica 75 Bold" w:cs="Helvetica 75 Bold"/>
                              <w:noProof/>
                              <w:color w:val="ED7D31"/>
                              <w:sz w:val="16"/>
                              <w:szCs w:val="16"/>
                            </w:rPr>
                          </w:pPr>
                          <w:r w:rsidRPr="00810D8B">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64C3C87" id="_x0000_t202" coordsize="21600,21600" o:spt="202" path="m,l,21600r21600,l21600,xe">
              <v:stroke joinstyle="miter"/>
              <v:path gradientshapeok="t" o:connecttype="rect"/>
            </v:shapetype>
            <v:shape id="Zone de texte 3" o:spid="_x0000_s1026" type="#_x0000_t202" alt="Orange Restrict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65F990C5" w14:textId="3233B434" w:rsidR="00810D8B" w:rsidRPr="00810D8B" w:rsidRDefault="00810D8B" w:rsidP="00810D8B">
                    <w:pPr>
                      <w:rPr>
                        <w:rFonts w:ascii="Helvetica 75 Bold" w:eastAsia="Helvetica 75 Bold" w:hAnsi="Helvetica 75 Bold" w:cs="Helvetica 75 Bold"/>
                        <w:noProof/>
                        <w:color w:val="ED7D31"/>
                        <w:sz w:val="16"/>
                        <w:szCs w:val="16"/>
                      </w:rPr>
                    </w:pPr>
                    <w:r w:rsidRPr="00810D8B">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C40BA" w14:textId="388001FC" w:rsidR="00810D8B" w:rsidRDefault="00810D8B">
    <w:pPr>
      <w:pStyle w:val="Pieddepage"/>
    </w:pPr>
    <w:r>
      <w:rPr>
        <w:noProof/>
      </w:rPr>
      <mc:AlternateContent>
        <mc:Choice Requires="wps">
          <w:drawing>
            <wp:anchor distT="0" distB="0" distL="0" distR="0" simplePos="0" relativeHeight="251660288" behindDoc="0" locked="0" layoutInCell="1" allowOverlap="1" wp14:anchorId="21D90088" wp14:editId="328878F2">
              <wp:simplePos x="241300" y="10077450"/>
              <wp:positionH relativeFrom="page">
                <wp:align>center</wp:align>
              </wp:positionH>
              <wp:positionV relativeFrom="page">
                <wp:align>bottom</wp:align>
              </wp:positionV>
              <wp:extent cx="443865" cy="443865"/>
              <wp:effectExtent l="0" t="0" r="13335" b="0"/>
              <wp:wrapNone/>
              <wp:docPr id="623922476" name="Zone de texte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12282A" w14:textId="29059423" w:rsidR="00810D8B" w:rsidRPr="00810D8B" w:rsidRDefault="00810D8B" w:rsidP="00810D8B">
                          <w:pPr>
                            <w:rPr>
                              <w:rFonts w:ascii="Helvetica 75 Bold" w:eastAsia="Helvetica 75 Bold" w:hAnsi="Helvetica 75 Bold" w:cs="Helvetica 75 Bold"/>
                              <w:noProof/>
                              <w:color w:val="ED7D31"/>
                              <w:sz w:val="16"/>
                              <w:szCs w:val="16"/>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1D90088" id="_x0000_t202" coordsize="21600,21600" o:spt="202" path="m,l,21600r21600,l21600,xe">
              <v:stroke joinstyle="miter"/>
              <v:path gradientshapeok="t" o:connecttype="rect"/>
            </v:shapetype>
            <v:shape id="Zone de texte 4" o:spid="_x0000_s1027" type="#_x0000_t202" alt="Orange Restricted" style="position:absolute;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1512282A" w14:textId="29059423" w:rsidR="00810D8B" w:rsidRPr="00810D8B" w:rsidRDefault="00810D8B" w:rsidP="00810D8B">
                    <w:pPr>
                      <w:rPr>
                        <w:rFonts w:ascii="Helvetica 75 Bold" w:eastAsia="Helvetica 75 Bold" w:hAnsi="Helvetica 75 Bold" w:cs="Helvetica 75 Bold"/>
                        <w:noProof/>
                        <w:color w:val="ED7D31"/>
                        <w:sz w:val="16"/>
                        <w:szCs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59ADE" w14:textId="1B9C1890" w:rsidR="00810D8B" w:rsidRDefault="00810D8B">
    <w:pPr>
      <w:pStyle w:val="Pieddepage"/>
    </w:pPr>
    <w:r>
      <w:rPr>
        <w:noProof/>
      </w:rPr>
      <mc:AlternateContent>
        <mc:Choice Requires="wps">
          <w:drawing>
            <wp:anchor distT="0" distB="0" distL="0" distR="0" simplePos="0" relativeHeight="251658240" behindDoc="0" locked="0" layoutInCell="1" allowOverlap="1" wp14:anchorId="4E66FF0A" wp14:editId="42B4C3DE">
              <wp:simplePos x="635" y="635"/>
              <wp:positionH relativeFrom="page">
                <wp:align>center</wp:align>
              </wp:positionH>
              <wp:positionV relativeFrom="page">
                <wp:align>bottom</wp:align>
              </wp:positionV>
              <wp:extent cx="443865" cy="443865"/>
              <wp:effectExtent l="0" t="0" r="13335" b="0"/>
              <wp:wrapNone/>
              <wp:docPr id="677501844"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088E886" w14:textId="1F4CFEED" w:rsidR="00810D8B" w:rsidRPr="00810D8B" w:rsidRDefault="00810D8B" w:rsidP="00810D8B">
                          <w:pPr>
                            <w:rPr>
                              <w:rFonts w:ascii="Helvetica 75 Bold" w:eastAsia="Helvetica 75 Bold" w:hAnsi="Helvetica 75 Bold" w:cs="Helvetica 75 Bold"/>
                              <w:noProof/>
                              <w:color w:val="ED7D31"/>
                              <w:sz w:val="16"/>
                              <w:szCs w:val="16"/>
                            </w:rPr>
                          </w:pPr>
                          <w:r w:rsidRPr="00810D8B">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66FF0A" id="_x0000_t202" coordsize="21600,21600" o:spt="202" path="m,l,21600r21600,l21600,xe">
              <v:stroke joinstyle="miter"/>
              <v:path gradientshapeok="t" o:connecttype="rect"/>
            </v:shapetype>
            <v:shape id="Zone de texte 2" o:spid="_x0000_s1028" type="#_x0000_t202" alt="Orange Restrict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0088E886" w14:textId="1F4CFEED" w:rsidR="00810D8B" w:rsidRPr="00810D8B" w:rsidRDefault="00810D8B" w:rsidP="00810D8B">
                    <w:pPr>
                      <w:rPr>
                        <w:rFonts w:ascii="Helvetica 75 Bold" w:eastAsia="Helvetica 75 Bold" w:hAnsi="Helvetica 75 Bold" w:cs="Helvetica 75 Bold"/>
                        <w:noProof/>
                        <w:color w:val="ED7D31"/>
                        <w:sz w:val="16"/>
                        <w:szCs w:val="16"/>
                      </w:rPr>
                    </w:pPr>
                    <w:r w:rsidRPr="00810D8B">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5B2BA" w14:textId="77777777" w:rsidR="00AF13FF" w:rsidRDefault="00AF13FF" w:rsidP="00810D8B">
      <w:r>
        <w:separator/>
      </w:r>
    </w:p>
  </w:footnote>
  <w:footnote w:type="continuationSeparator" w:id="0">
    <w:p w14:paraId="63583612" w14:textId="77777777" w:rsidR="00AF13FF" w:rsidRDefault="00AF13FF" w:rsidP="00810D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01E1"/>
    <w:multiLevelType w:val="hybridMultilevel"/>
    <w:tmpl w:val="724C5940"/>
    <w:lvl w:ilvl="0" w:tplc="5234E4CC">
      <w:numFmt w:val="bullet"/>
      <w:lvlText w:val=""/>
      <w:lvlJc w:val="left"/>
      <w:pPr>
        <w:ind w:left="1756" w:hanging="360"/>
      </w:pPr>
      <w:rPr>
        <w:rFonts w:ascii="Wingdings" w:eastAsia="Wingdings" w:hAnsi="Wingdings" w:cs="Wingdings" w:hint="default"/>
        <w:color w:val="12404D"/>
        <w:w w:val="99"/>
        <w:sz w:val="20"/>
        <w:szCs w:val="20"/>
        <w:lang w:val="fr-FR" w:eastAsia="en-US" w:bidi="ar-SA"/>
      </w:rPr>
    </w:lvl>
    <w:lvl w:ilvl="1" w:tplc="00CA7C76">
      <w:numFmt w:val="bullet"/>
      <w:lvlText w:val="•"/>
      <w:lvlJc w:val="left"/>
      <w:pPr>
        <w:ind w:left="2736" w:hanging="360"/>
      </w:pPr>
      <w:rPr>
        <w:rFonts w:hint="default"/>
        <w:lang w:val="fr-FR" w:eastAsia="en-US" w:bidi="ar-SA"/>
      </w:rPr>
    </w:lvl>
    <w:lvl w:ilvl="2" w:tplc="3448123A">
      <w:numFmt w:val="bullet"/>
      <w:lvlText w:val="•"/>
      <w:lvlJc w:val="left"/>
      <w:pPr>
        <w:ind w:left="3713" w:hanging="360"/>
      </w:pPr>
      <w:rPr>
        <w:rFonts w:hint="default"/>
        <w:lang w:val="fr-FR" w:eastAsia="en-US" w:bidi="ar-SA"/>
      </w:rPr>
    </w:lvl>
    <w:lvl w:ilvl="3" w:tplc="8AD0E5D2">
      <w:numFmt w:val="bullet"/>
      <w:lvlText w:val="•"/>
      <w:lvlJc w:val="left"/>
      <w:pPr>
        <w:ind w:left="4689" w:hanging="360"/>
      </w:pPr>
      <w:rPr>
        <w:rFonts w:hint="default"/>
        <w:lang w:val="fr-FR" w:eastAsia="en-US" w:bidi="ar-SA"/>
      </w:rPr>
    </w:lvl>
    <w:lvl w:ilvl="4" w:tplc="4420EAC6">
      <w:numFmt w:val="bullet"/>
      <w:lvlText w:val="•"/>
      <w:lvlJc w:val="left"/>
      <w:pPr>
        <w:ind w:left="5666" w:hanging="360"/>
      </w:pPr>
      <w:rPr>
        <w:rFonts w:hint="default"/>
        <w:lang w:val="fr-FR" w:eastAsia="en-US" w:bidi="ar-SA"/>
      </w:rPr>
    </w:lvl>
    <w:lvl w:ilvl="5" w:tplc="6EF4E186">
      <w:numFmt w:val="bullet"/>
      <w:lvlText w:val="•"/>
      <w:lvlJc w:val="left"/>
      <w:pPr>
        <w:ind w:left="6643" w:hanging="360"/>
      </w:pPr>
      <w:rPr>
        <w:rFonts w:hint="default"/>
        <w:lang w:val="fr-FR" w:eastAsia="en-US" w:bidi="ar-SA"/>
      </w:rPr>
    </w:lvl>
    <w:lvl w:ilvl="6" w:tplc="689ECDE6">
      <w:numFmt w:val="bullet"/>
      <w:lvlText w:val="•"/>
      <w:lvlJc w:val="left"/>
      <w:pPr>
        <w:ind w:left="7619" w:hanging="360"/>
      </w:pPr>
      <w:rPr>
        <w:rFonts w:hint="default"/>
        <w:lang w:val="fr-FR" w:eastAsia="en-US" w:bidi="ar-SA"/>
      </w:rPr>
    </w:lvl>
    <w:lvl w:ilvl="7" w:tplc="AD1A6A00">
      <w:numFmt w:val="bullet"/>
      <w:lvlText w:val="•"/>
      <w:lvlJc w:val="left"/>
      <w:pPr>
        <w:ind w:left="8596" w:hanging="360"/>
      </w:pPr>
      <w:rPr>
        <w:rFonts w:hint="default"/>
        <w:lang w:val="fr-FR" w:eastAsia="en-US" w:bidi="ar-SA"/>
      </w:rPr>
    </w:lvl>
    <w:lvl w:ilvl="8" w:tplc="DA06C048">
      <w:numFmt w:val="bullet"/>
      <w:lvlText w:val="•"/>
      <w:lvlJc w:val="left"/>
      <w:pPr>
        <w:ind w:left="9573" w:hanging="360"/>
      </w:pPr>
      <w:rPr>
        <w:rFonts w:hint="default"/>
        <w:lang w:val="fr-FR" w:eastAsia="en-US" w:bidi="ar-SA"/>
      </w:rPr>
    </w:lvl>
  </w:abstractNum>
  <w:abstractNum w:abstractNumId="1" w15:restartNumberingAfterBreak="0">
    <w:nsid w:val="02215C51"/>
    <w:multiLevelType w:val="hybridMultilevel"/>
    <w:tmpl w:val="BD840808"/>
    <w:lvl w:ilvl="0" w:tplc="97F4F70A">
      <w:numFmt w:val="bullet"/>
      <w:lvlText w:val="o"/>
      <w:lvlJc w:val="left"/>
      <w:pPr>
        <w:ind w:left="1756" w:hanging="360"/>
      </w:pPr>
      <w:rPr>
        <w:rFonts w:ascii="Courier New" w:eastAsia="Courier New" w:hAnsi="Courier New" w:cs="Courier New" w:hint="default"/>
        <w:color w:val="12404D"/>
        <w:w w:val="99"/>
        <w:sz w:val="20"/>
        <w:szCs w:val="20"/>
        <w:lang w:val="fr-FR" w:eastAsia="en-US" w:bidi="ar-SA"/>
      </w:rPr>
    </w:lvl>
    <w:lvl w:ilvl="1" w:tplc="04D6E160">
      <w:numFmt w:val="bullet"/>
      <w:lvlText w:val="•"/>
      <w:lvlJc w:val="left"/>
      <w:pPr>
        <w:ind w:left="2736" w:hanging="360"/>
      </w:pPr>
      <w:rPr>
        <w:rFonts w:hint="default"/>
        <w:lang w:val="fr-FR" w:eastAsia="en-US" w:bidi="ar-SA"/>
      </w:rPr>
    </w:lvl>
    <w:lvl w:ilvl="2" w:tplc="E206855E">
      <w:numFmt w:val="bullet"/>
      <w:lvlText w:val="•"/>
      <w:lvlJc w:val="left"/>
      <w:pPr>
        <w:ind w:left="3713" w:hanging="360"/>
      </w:pPr>
      <w:rPr>
        <w:rFonts w:hint="default"/>
        <w:lang w:val="fr-FR" w:eastAsia="en-US" w:bidi="ar-SA"/>
      </w:rPr>
    </w:lvl>
    <w:lvl w:ilvl="3" w:tplc="CBCE127A">
      <w:numFmt w:val="bullet"/>
      <w:lvlText w:val="•"/>
      <w:lvlJc w:val="left"/>
      <w:pPr>
        <w:ind w:left="4689" w:hanging="360"/>
      </w:pPr>
      <w:rPr>
        <w:rFonts w:hint="default"/>
        <w:lang w:val="fr-FR" w:eastAsia="en-US" w:bidi="ar-SA"/>
      </w:rPr>
    </w:lvl>
    <w:lvl w:ilvl="4" w:tplc="5520294A">
      <w:numFmt w:val="bullet"/>
      <w:lvlText w:val="•"/>
      <w:lvlJc w:val="left"/>
      <w:pPr>
        <w:ind w:left="5666" w:hanging="360"/>
      </w:pPr>
      <w:rPr>
        <w:rFonts w:hint="default"/>
        <w:lang w:val="fr-FR" w:eastAsia="en-US" w:bidi="ar-SA"/>
      </w:rPr>
    </w:lvl>
    <w:lvl w:ilvl="5" w:tplc="7B20092A">
      <w:numFmt w:val="bullet"/>
      <w:lvlText w:val="•"/>
      <w:lvlJc w:val="left"/>
      <w:pPr>
        <w:ind w:left="6643" w:hanging="360"/>
      </w:pPr>
      <w:rPr>
        <w:rFonts w:hint="default"/>
        <w:lang w:val="fr-FR" w:eastAsia="en-US" w:bidi="ar-SA"/>
      </w:rPr>
    </w:lvl>
    <w:lvl w:ilvl="6" w:tplc="E19A9594">
      <w:numFmt w:val="bullet"/>
      <w:lvlText w:val="•"/>
      <w:lvlJc w:val="left"/>
      <w:pPr>
        <w:ind w:left="7619" w:hanging="360"/>
      </w:pPr>
      <w:rPr>
        <w:rFonts w:hint="default"/>
        <w:lang w:val="fr-FR" w:eastAsia="en-US" w:bidi="ar-SA"/>
      </w:rPr>
    </w:lvl>
    <w:lvl w:ilvl="7" w:tplc="DA14DB62">
      <w:numFmt w:val="bullet"/>
      <w:lvlText w:val="•"/>
      <w:lvlJc w:val="left"/>
      <w:pPr>
        <w:ind w:left="8596" w:hanging="360"/>
      </w:pPr>
      <w:rPr>
        <w:rFonts w:hint="default"/>
        <w:lang w:val="fr-FR" w:eastAsia="en-US" w:bidi="ar-SA"/>
      </w:rPr>
    </w:lvl>
    <w:lvl w:ilvl="8" w:tplc="ED4C2568">
      <w:numFmt w:val="bullet"/>
      <w:lvlText w:val="•"/>
      <w:lvlJc w:val="left"/>
      <w:pPr>
        <w:ind w:left="9573" w:hanging="360"/>
      </w:pPr>
      <w:rPr>
        <w:rFonts w:hint="default"/>
        <w:lang w:val="fr-FR" w:eastAsia="en-US" w:bidi="ar-SA"/>
      </w:rPr>
    </w:lvl>
  </w:abstractNum>
  <w:abstractNum w:abstractNumId="2" w15:restartNumberingAfterBreak="0">
    <w:nsid w:val="03BF5FAD"/>
    <w:multiLevelType w:val="hybridMultilevel"/>
    <w:tmpl w:val="F74A9C6E"/>
    <w:lvl w:ilvl="0" w:tplc="4F140D84">
      <w:numFmt w:val="bullet"/>
      <w:lvlText w:val="-"/>
      <w:lvlJc w:val="left"/>
      <w:pPr>
        <w:ind w:left="1068" w:hanging="360"/>
      </w:pPr>
      <w:rPr>
        <w:rFonts w:ascii="Helvetica 45 Light" w:eastAsia="Times New Roman" w:hAnsi="Helvetica 45 Light" w:cs="Calibr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 w15:restartNumberingAfterBreak="0">
    <w:nsid w:val="0A0B7147"/>
    <w:multiLevelType w:val="multilevel"/>
    <w:tmpl w:val="DC24E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E166B2"/>
    <w:multiLevelType w:val="hybridMultilevel"/>
    <w:tmpl w:val="0348492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2A426420"/>
    <w:multiLevelType w:val="hybridMultilevel"/>
    <w:tmpl w:val="ABBCCD8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44006B82"/>
    <w:multiLevelType w:val="hybridMultilevel"/>
    <w:tmpl w:val="C55A892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453B2F07"/>
    <w:multiLevelType w:val="hybridMultilevel"/>
    <w:tmpl w:val="CB1C9B2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45A63B4A"/>
    <w:multiLevelType w:val="hybridMultilevel"/>
    <w:tmpl w:val="87B6DA4A"/>
    <w:lvl w:ilvl="0" w:tplc="C4547E24">
      <w:start w:val="1"/>
      <w:numFmt w:val="bullet"/>
      <w:lvlText w:val="–"/>
      <w:lvlJc w:val="left"/>
      <w:pPr>
        <w:ind w:left="1068" w:hanging="360"/>
      </w:pPr>
      <w:rPr>
        <w:rFonts w:ascii="Calibri" w:hAnsi="Calibr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9" w15:restartNumberingAfterBreak="0">
    <w:nsid w:val="571A429E"/>
    <w:multiLevelType w:val="hybridMultilevel"/>
    <w:tmpl w:val="9136700C"/>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F490242"/>
    <w:multiLevelType w:val="hybridMultilevel"/>
    <w:tmpl w:val="7AA69688"/>
    <w:lvl w:ilvl="0" w:tplc="63D8BCD6">
      <w:start w:val="1"/>
      <w:numFmt w:val="bullet"/>
      <w:pStyle w:val="Listepuces"/>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830753851">
    <w:abstractNumId w:val="1"/>
  </w:num>
  <w:num w:numId="2" w16cid:durableId="1984848871">
    <w:abstractNumId w:val="0"/>
  </w:num>
  <w:num w:numId="3" w16cid:durableId="412749581">
    <w:abstractNumId w:val="8"/>
  </w:num>
  <w:num w:numId="4" w16cid:durableId="523791835">
    <w:abstractNumId w:val="5"/>
  </w:num>
  <w:num w:numId="5" w16cid:durableId="1662586014">
    <w:abstractNumId w:val="9"/>
  </w:num>
  <w:num w:numId="6" w16cid:durableId="720708554">
    <w:abstractNumId w:val="3"/>
  </w:num>
  <w:num w:numId="7" w16cid:durableId="64227225">
    <w:abstractNumId w:val="2"/>
  </w:num>
  <w:num w:numId="8" w16cid:durableId="766584109">
    <w:abstractNumId w:val="10"/>
  </w:num>
  <w:num w:numId="9" w16cid:durableId="1644118545">
    <w:abstractNumId w:val="4"/>
  </w:num>
  <w:num w:numId="10" w16cid:durableId="920068369">
    <w:abstractNumId w:val="7"/>
  </w:num>
  <w:num w:numId="11" w16cid:durableId="10849122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32A"/>
    <w:rsid w:val="00013832"/>
    <w:rsid w:val="000B679D"/>
    <w:rsid w:val="000D0476"/>
    <w:rsid w:val="000F4C45"/>
    <w:rsid w:val="00237760"/>
    <w:rsid w:val="00335B82"/>
    <w:rsid w:val="0037432A"/>
    <w:rsid w:val="0045177B"/>
    <w:rsid w:val="00491194"/>
    <w:rsid w:val="005726F0"/>
    <w:rsid w:val="005923C6"/>
    <w:rsid w:val="00631CC2"/>
    <w:rsid w:val="00667EEF"/>
    <w:rsid w:val="006C0EE9"/>
    <w:rsid w:val="007B06CD"/>
    <w:rsid w:val="00810D8B"/>
    <w:rsid w:val="00977EFE"/>
    <w:rsid w:val="009F32ED"/>
    <w:rsid w:val="009F5867"/>
    <w:rsid w:val="00A97F87"/>
    <w:rsid w:val="00AC118E"/>
    <w:rsid w:val="00AF13FF"/>
    <w:rsid w:val="00B10EB5"/>
    <w:rsid w:val="00B7232E"/>
    <w:rsid w:val="00BE5C6F"/>
    <w:rsid w:val="00CC0B50"/>
    <w:rsid w:val="00CC56B2"/>
    <w:rsid w:val="00CE5C9D"/>
    <w:rsid w:val="00D12428"/>
    <w:rsid w:val="00D76BCA"/>
    <w:rsid w:val="00E07C1A"/>
    <w:rsid w:val="00E81B91"/>
    <w:rsid w:val="00E94BAE"/>
    <w:rsid w:val="00FF030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E5E3F"/>
  <w15:docId w15:val="{D1AD891B-979D-4E71-AF16-AE251B576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Franklin Gothic Medium" w:eastAsia="Franklin Gothic Medium" w:hAnsi="Franklin Gothic Medium" w:cs="Franklin Gothic Medium"/>
      <w:lang w:val="fr-FR"/>
    </w:rPr>
  </w:style>
  <w:style w:type="paragraph" w:styleId="Titre1">
    <w:name w:val="heading 1"/>
    <w:basedOn w:val="Normal"/>
    <w:link w:val="Titre1Car"/>
    <w:uiPriority w:val="9"/>
    <w:qFormat/>
    <w:pPr>
      <w:ind w:left="1036"/>
      <w:outlineLvl w:val="0"/>
    </w:pPr>
    <w:rPr>
      <w:i/>
      <w:iCs/>
      <w:sz w:val="28"/>
      <w:szCs w:val="28"/>
    </w:rPr>
  </w:style>
  <w:style w:type="paragraph" w:styleId="Titre3">
    <w:name w:val="heading 3"/>
    <w:basedOn w:val="Normal"/>
    <w:next w:val="Normal"/>
    <w:link w:val="Titre3Car"/>
    <w:uiPriority w:val="9"/>
    <w:semiHidden/>
    <w:unhideWhenUsed/>
    <w:qFormat/>
    <w:rsid w:val="0045177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link w:val="CorpsdetexteCar"/>
    <w:uiPriority w:val="1"/>
    <w:qFormat/>
    <w:rPr>
      <w:sz w:val="20"/>
      <w:szCs w:val="20"/>
    </w:rPr>
  </w:style>
  <w:style w:type="paragraph" w:styleId="Titre">
    <w:name w:val="Title"/>
    <w:basedOn w:val="Normal"/>
    <w:uiPriority w:val="10"/>
    <w:qFormat/>
    <w:pPr>
      <w:spacing w:before="92"/>
      <w:ind w:left="1036"/>
    </w:pPr>
    <w:rPr>
      <w:rFonts w:ascii="Arial" w:eastAsia="Arial" w:hAnsi="Arial" w:cs="Arial"/>
      <w:b/>
      <w:bCs/>
      <w:sz w:val="40"/>
      <w:szCs w:val="40"/>
    </w:rPr>
  </w:style>
  <w:style w:type="paragraph" w:styleId="Paragraphedeliste">
    <w:name w:val="List Paragraph"/>
    <w:basedOn w:val="Normal"/>
    <w:uiPriority w:val="34"/>
    <w:qFormat/>
    <w:pPr>
      <w:spacing w:line="240" w:lineRule="exact"/>
      <w:ind w:left="1756" w:hanging="361"/>
    </w:pPr>
  </w:style>
  <w:style w:type="paragraph" w:customStyle="1" w:styleId="TableParagraph">
    <w:name w:val="Table Paragraph"/>
    <w:basedOn w:val="Normal"/>
    <w:uiPriority w:val="1"/>
    <w:qFormat/>
  </w:style>
  <w:style w:type="paragraph" w:styleId="Pieddepage">
    <w:name w:val="footer"/>
    <w:basedOn w:val="Normal"/>
    <w:link w:val="PieddepageCar"/>
    <w:uiPriority w:val="99"/>
    <w:unhideWhenUsed/>
    <w:rsid w:val="00810D8B"/>
    <w:pPr>
      <w:tabs>
        <w:tab w:val="center" w:pos="4536"/>
        <w:tab w:val="right" w:pos="9072"/>
      </w:tabs>
    </w:pPr>
  </w:style>
  <w:style w:type="character" w:customStyle="1" w:styleId="PieddepageCar">
    <w:name w:val="Pied de page Car"/>
    <w:basedOn w:val="Policepardfaut"/>
    <w:link w:val="Pieddepage"/>
    <w:uiPriority w:val="99"/>
    <w:rsid w:val="00810D8B"/>
    <w:rPr>
      <w:rFonts w:ascii="Franklin Gothic Medium" w:eastAsia="Franklin Gothic Medium" w:hAnsi="Franklin Gothic Medium" w:cs="Franklin Gothic Medium"/>
      <w:lang w:val="fr-FR"/>
    </w:rPr>
  </w:style>
  <w:style w:type="paragraph" w:styleId="En-tte">
    <w:name w:val="header"/>
    <w:basedOn w:val="Normal"/>
    <w:link w:val="En-tteCar"/>
    <w:uiPriority w:val="99"/>
    <w:unhideWhenUsed/>
    <w:rsid w:val="00013832"/>
    <w:pPr>
      <w:tabs>
        <w:tab w:val="center" w:pos="4536"/>
        <w:tab w:val="right" w:pos="9072"/>
      </w:tabs>
    </w:pPr>
  </w:style>
  <w:style w:type="character" w:customStyle="1" w:styleId="En-tteCar">
    <w:name w:val="En-tête Car"/>
    <w:basedOn w:val="Policepardfaut"/>
    <w:link w:val="En-tte"/>
    <w:uiPriority w:val="99"/>
    <w:rsid w:val="00013832"/>
    <w:rPr>
      <w:rFonts w:ascii="Franklin Gothic Medium" w:eastAsia="Franklin Gothic Medium" w:hAnsi="Franklin Gothic Medium" w:cs="Franklin Gothic Medium"/>
      <w:lang w:val="fr-FR"/>
    </w:rPr>
  </w:style>
  <w:style w:type="character" w:customStyle="1" w:styleId="Titre3Car">
    <w:name w:val="Titre 3 Car"/>
    <w:basedOn w:val="Policepardfaut"/>
    <w:link w:val="Titre3"/>
    <w:uiPriority w:val="9"/>
    <w:semiHidden/>
    <w:rsid w:val="0045177B"/>
    <w:rPr>
      <w:rFonts w:asciiTheme="majorHAnsi" w:eastAsiaTheme="majorEastAsia" w:hAnsiTheme="majorHAnsi" w:cstheme="majorBidi"/>
      <w:color w:val="243F60" w:themeColor="accent1" w:themeShade="7F"/>
      <w:sz w:val="24"/>
      <w:szCs w:val="24"/>
      <w:lang w:val="fr-FR"/>
    </w:rPr>
  </w:style>
  <w:style w:type="character" w:customStyle="1" w:styleId="CorpsdetexteCar">
    <w:name w:val="Corps de texte Car"/>
    <w:basedOn w:val="Policepardfaut"/>
    <w:link w:val="Corpsdetexte"/>
    <w:uiPriority w:val="1"/>
    <w:rsid w:val="0045177B"/>
    <w:rPr>
      <w:rFonts w:ascii="Franklin Gothic Medium" w:eastAsia="Franklin Gothic Medium" w:hAnsi="Franklin Gothic Medium" w:cs="Franklin Gothic Medium"/>
      <w:sz w:val="20"/>
      <w:szCs w:val="20"/>
      <w:lang w:val="fr-FR"/>
    </w:rPr>
  </w:style>
  <w:style w:type="character" w:customStyle="1" w:styleId="Titre1Car">
    <w:name w:val="Titre 1 Car"/>
    <w:basedOn w:val="Policepardfaut"/>
    <w:link w:val="Titre1"/>
    <w:uiPriority w:val="9"/>
    <w:rsid w:val="000F4C45"/>
    <w:rPr>
      <w:rFonts w:ascii="Franklin Gothic Medium" w:eastAsia="Franklin Gothic Medium" w:hAnsi="Franklin Gothic Medium" w:cs="Franklin Gothic Medium"/>
      <w:i/>
      <w:iCs/>
      <w:sz w:val="28"/>
      <w:szCs w:val="28"/>
      <w:lang w:val="fr-FR"/>
    </w:rPr>
  </w:style>
  <w:style w:type="paragraph" w:styleId="Listepuces">
    <w:name w:val="List Bullet"/>
    <w:basedOn w:val="Normal"/>
    <w:rsid w:val="00335B82"/>
    <w:pPr>
      <w:widowControl/>
      <w:numPr>
        <w:numId w:val="8"/>
      </w:numPr>
      <w:tabs>
        <w:tab w:val="clear" w:pos="360"/>
      </w:tabs>
      <w:autoSpaceDE/>
      <w:autoSpaceDN/>
      <w:spacing w:before="200" w:after="40"/>
      <w:ind w:left="0" w:firstLine="0"/>
      <w:jc w:val="both"/>
    </w:pPr>
    <w:rPr>
      <w:rFonts w:ascii="Arial" w:eastAsia="Times New Roman" w:hAnsi="Arial" w:cs="Times New Roman"/>
      <w:sz w:val="18"/>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cid:image001.png@01DABB5A.E5DBA9C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Normal.dotm</Template>
  <TotalTime>56</TotalTime>
  <Pages>3</Pages>
  <Words>1031</Words>
  <Characters>5672</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Sofrecom Tunisie</Company>
  <LinksUpToDate>false</LinksUpToDate>
  <CharactersWithSpaces>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JRAD Nizar SOFRECOM</cp:lastModifiedBy>
  <cp:revision>12</cp:revision>
  <dcterms:created xsi:type="dcterms:W3CDTF">2024-06-11T14:04:00Z</dcterms:created>
  <dcterms:modified xsi:type="dcterms:W3CDTF">2026-06-19T16:03:00Z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2024-01-08T00:00:00Z</vt:filetime>
  </property>
  <property fmtid="{D5CDD505-2E9C-101B-9397-08002B2CF9AE}" pid="3" name="Creator">
    <vt:lpwstr>Microsoft® Word pour Microsoft 365</vt:lpwstr>
  </property>
  <property fmtid="{D5CDD505-2E9C-101B-9397-08002B2CF9AE}" pid="4" name="LastSaved">
    <vt:filetime>2024-06-11T00:00:00Z</vt:filetime>
  </property>
  <property fmtid="{D5CDD505-2E9C-101B-9397-08002B2CF9AE}" pid="5" name="ClassificationContentMarkingFooterShapeIds">
    <vt:lpwstr>2861db94,286489a7,25304d2c</vt:lpwstr>
  </property>
  <property fmtid="{D5CDD505-2E9C-101B-9397-08002B2CF9AE}" pid="6" name="ClassificationContentMarkingFooterFontProps">
    <vt:lpwstr>#ed7d31,8,Helvetica 75 Bold</vt:lpwstr>
  </property>
  <property fmtid="{D5CDD505-2E9C-101B-9397-08002B2CF9AE}" pid="7" name="ClassificationContentMarkingFooterText">
    <vt:lpwstr>Orange Restricted</vt:lpwstr>
  </property>
</Properties>
</file>